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ascii="黑体" w:hAnsi="黑体" w:eastAsia="黑体"/>
          <w:sz w:val="36"/>
          <w:szCs w:val="36"/>
        </w:rPr>
      </w:pPr>
      <w:r>
        <w:rPr>
          <w:rFonts w:hint="eastAsia" w:ascii="黑体" w:hAnsi="黑体" w:eastAsia="黑体"/>
          <w:sz w:val="36"/>
          <w:szCs w:val="36"/>
        </w:rPr>
        <w:t>阜阳幼儿师范高等专科学校科学教育专业人才培养方案</w:t>
      </w:r>
    </w:p>
    <w:p>
      <w:pPr>
        <w:jc w:val="center"/>
        <w:outlineLvl w:val="0"/>
        <w:rPr>
          <w:rFonts w:ascii="黑体" w:hAnsi="黑体" w:eastAsia="黑体"/>
          <w:sz w:val="36"/>
          <w:szCs w:val="36"/>
        </w:rPr>
      </w:pPr>
      <w:r>
        <w:rPr>
          <w:rFonts w:hint="eastAsia" w:ascii="黑体" w:hAnsi="黑体" w:eastAsia="黑体"/>
          <w:sz w:val="36"/>
          <w:szCs w:val="36"/>
        </w:rPr>
        <w:t>（2019年版）</w:t>
      </w:r>
    </w:p>
    <w:p>
      <w:pPr>
        <w:outlineLvl w:val="0"/>
        <w:rPr>
          <w:rFonts w:ascii="黑体" w:hAnsi="黑体" w:eastAsia="黑体" w:cs="宋体"/>
          <w:sz w:val="24"/>
        </w:rPr>
      </w:pPr>
      <w:r>
        <w:rPr>
          <w:rFonts w:hint="eastAsia" w:ascii="黑体" w:hAnsi="黑体" w:eastAsia="黑体" w:cs="宋体"/>
          <w:bCs/>
          <w:sz w:val="24"/>
        </w:rPr>
        <w:t>一、专业名称及代码</w:t>
      </w:r>
    </w:p>
    <w:p>
      <w:pPr>
        <w:ind w:firstLine="525" w:firstLineChars="250"/>
        <w:rPr>
          <w:rFonts w:hint="eastAsia" w:ascii="仿宋_GB2312" w:hAnsi="宋体" w:eastAsia="仿宋_GB2312" w:cs="宋体"/>
          <w:kern w:val="0"/>
          <w:szCs w:val="21"/>
        </w:rPr>
      </w:pPr>
      <w:r>
        <w:rPr>
          <w:rFonts w:hint="eastAsia" w:ascii="仿宋_GB2312" w:hAnsi="宋体" w:eastAsia="仿宋_GB2312" w:cs="宋体"/>
          <w:szCs w:val="21"/>
        </w:rPr>
        <w:t>科学教育，670119K。</w:t>
      </w:r>
    </w:p>
    <w:p>
      <w:pPr>
        <w:outlineLvl w:val="0"/>
        <w:rPr>
          <w:rFonts w:ascii="黑体" w:hAnsi="黑体" w:eastAsia="黑体" w:cs="宋体"/>
          <w:bCs/>
          <w:sz w:val="24"/>
        </w:rPr>
      </w:pPr>
      <w:r>
        <w:rPr>
          <w:rFonts w:hint="eastAsia" w:ascii="黑体" w:hAnsi="黑体" w:eastAsia="黑体" w:cs="宋体"/>
          <w:bCs/>
          <w:sz w:val="24"/>
        </w:rPr>
        <w:t>二、入学要求</w:t>
      </w:r>
    </w:p>
    <w:p>
      <w:pPr>
        <w:ind w:firstLine="525" w:firstLineChars="250"/>
        <w:rPr>
          <w:rFonts w:ascii="仿宋_GB2312" w:hAnsi="宋体" w:eastAsia="仿宋_GB2312" w:cs="宋体"/>
          <w:szCs w:val="21"/>
        </w:rPr>
      </w:pPr>
      <w:r>
        <w:rPr>
          <w:rFonts w:hint="eastAsia" w:ascii="仿宋_GB2312" w:hAnsi="宋体" w:eastAsia="仿宋_GB2312" w:cs="宋体"/>
          <w:szCs w:val="21"/>
        </w:rPr>
        <w:t>高中阶段教育毕业生或具有同等学力者。</w:t>
      </w:r>
    </w:p>
    <w:p>
      <w:pPr>
        <w:outlineLvl w:val="0"/>
        <w:rPr>
          <w:rFonts w:ascii="黑体" w:hAnsi="黑体" w:eastAsia="黑体" w:cs="宋体"/>
          <w:bCs/>
          <w:sz w:val="24"/>
        </w:rPr>
      </w:pPr>
      <w:r>
        <w:rPr>
          <w:rFonts w:hint="eastAsia" w:ascii="黑体" w:hAnsi="黑体" w:eastAsia="黑体" w:cs="宋体"/>
          <w:bCs/>
          <w:sz w:val="24"/>
        </w:rPr>
        <w:t>三、学制及修业年限</w:t>
      </w:r>
    </w:p>
    <w:p>
      <w:pPr>
        <w:ind w:firstLine="525" w:firstLineChars="250"/>
        <w:rPr>
          <w:rFonts w:ascii="仿宋_GB2312" w:hAnsi="宋体" w:eastAsia="仿宋_GB2312" w:cs="宋体"/>
          <w:szCs w:val="21"/>
        </w:rPr>
      </w:pPr>
      <w:r>
        <w:rPr>
          <w:rFonts w:hint="eastAsia" w:ascii="仿宋_GB2312" w:hAnsi="宋体" w:eastAsia="仿宋_GB2312" w:cs="宋体"/>
          <w:szCs w:val="21"/>
        </w:rPr>
        <w:t>学制3年，修业年限2-5年。</w:t>
      </w:r>
    </w:p>
    <w:p>
      <w:pPr>
        <w:outlineLvl w:val="0"/>
        <w:rPr>
          <w:rFonts w:ascii="黑体" w:hAnsi="黑体" w:eastAsia="黑体" w:cs="宋体"/>
          <w:bCs/>
          <w:sz w:val="24"/>
        </w:rPr>
      </w:pPr>
      <w:r>
        <w:rPr>
          <w:rFonts w:hint="eastAsia" w:ascii="黑体" w:hAnsi="黑体" w:eastAsia="黑体" w:cs="宋体"/>
          <w:bCs/>
          <w:sz w:val="24"/>
        </w:rPr>
        <w:t>四、职业面向</w:t>
      </w:r>
    </w:p>
    <w:p>
      <w:pPr>
        <w:ind w:firstLine="525" w:firstLineChars="250"/>
        <w:rPr>
          <w:rFonts w:ascii="仿宋_GB2312" w:hAnsi="宋体" w:eastAsia="仿宋_GB2312" w:cs="宋体"/>
          <w:szCs w:val="21"/>
        </w:rPr>
      </w:pPr>
      <w:r>
        <w:rPr>
          <w:rFonts w:hint="eastAsia" w:ascii="仿宋_GB2312" w:hAnsi="宋体" w:eastAsia="仿宋_GB2312" w:cs="宋体"/>
          <w:szCs w:val="21"/>
        </w:rPr>
        <w:t>主要面向各类小学、小学生课外辅导和培训机构，在教师和管理岗位群，从事小学科学及综合实践活动课程学科的教学，以及基础教育管理、基础教育研究、基础教育培训，基层科普传播、普及等工作。</w:t>
      </w:r>
    </w:p>
    <w:p>
      <w:pPr>
        <w:ind w:firstLine="493"/>
        <w:jc w:val="left"/>
        <w:rPr>
          <w:rFonts w:ascii="宋体" w:hAnsi="宋体" w:cs="宋体"/>
          <w:b/>
          <w:sz w:val="28"/>
          <w:szCs w:val="28"/>
        </w:rPr>
      </w:pPr>
      <w:r>
        <w:rPr>
          <w:rFonts w:hint="eastAsia" w:ascii="宋体" w:hAnsi="宋体" w:cs="宋体"/>
          <w:b/>
          <w:kern w:val="0"/>
          <w:szCs w:val="21"/>
        </w:rPr>
        <w:t>表1  科学教育专业职业面向</w:t>
      </w:r>
    </w:p>
    <w:tbl>
      <w:tblPr>
        <w:tblStyle w:val="21"/>
        <w:tblW w:w="9143" w:type="dxa"/>
        <w:jc w:val="center"/>
        <w:tblInd w:w="0" w:type="dxa"/>
        <w:tblLayout w:type="fixed"/>
        <w:tblCellMar>
          <w:top w:w="0" w:type="dxa"/>
          <w:left w:w="0" w:type="dxa"/>
          <w:bottom w:w="0" w:type="dxa"/>
          <w:right w:w="0" w:type="dxa"/>
        </w:tblCellMar>
      </w:tblPr>
      <w:tblGrid>
        <w:gridCol w:w="1543"/>
        <w:gridCol w:w="1300"/>
        <w:gridCol w:w="1021"/>
        <w:gridCol w:w="1319"/>
        <w:gridCol w:w="2366"/>
        <w:gridCol w:w="1594"/>
      </w:tblGrid>
      <w:tr>
        <w:tblPrEx>
          <w:tblLayout w:type="fixed"/>
          <w:tblCellMar>
            <w:top w:w="0" w:type="dxa"/>
            <w:left w:w="0" w:type="dxa"/>
            <w:bottom w:w="0" w:type="dxa"/>
            <w:right w:w="0" w:type="dxa"/>
          </w:tblCellMar>
        </w:tblPrEx>
        <w:trPr>
          <w:trHeight w:val="861" w:hRule="exact"/>
          <w:jc w:val="center"/>
        </w:trPr>
        <w:tc>
          <w:tcPr>
            <w:tcW w:w="1543"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所属专</w:t>
            </w:r>
          </w:p>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业大类</w:t>
            </w:r>
          </w:p>
        </w:tc>
        <w:tc>
          <w:tcPr>
            <w:tcW w:w="1300"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所属</w:t>
            </w:r>
          </w:p>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专业类</w:t>
            </w:r>
          </w:p>
        </w:tc>
        <w:tc>
          <w:tcPr>
            <w:tcW w:w="102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对应</w:t>
            </w:r>
          </w:p>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行业</w:t>
            </w:r>
          </w:p>
        </w:tc>
        <w:tc>
          <w:tcPr>
            <w:tcW w:w="1319"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主要职</w:t>
            </w:r>
          </w:p>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业类别</w:t>
            </w:r>
          </w:p>
        </w:tc>
        <w:tc>
          <w:tcPr>
            <w:tcW w:w="2366"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主要岗位类别</w:t>
            </w:r>
          </w:p>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(或技术领域）</w:t>
            </w:r>
          </w:p>
        </w:tc>
        <w:tc>
          <w:tcPr>
            <w:tcW w:w="1594"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职业资格证书</w:t>
            </w:r>
          </w:p>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或技能等级证书举例</w:t>
            </w:r>
          </w:p>
        </w:tc>
      </w:tr>
      <w:tr>
        <w:tblPrEx>
          <w:tblLayout w:type="fixed"/>
          <w:tblCellMar>
            <w:top w:w="0" w:type="dxa"/>
            <w:left w:w="0" w:type="dxa"/>
            <w:bottom w:w="0" w:type="dxa"/>
            <w:right w:w="0" w:type="dxa"/>
          </w:tblCellMar>
        </w:tblPrEx>
        <w:trPr>
          <w:trHeight w:val="1016" w:hRule="exact"/>
          <w:jc w:val="center"/>
        </w:trPr>
        <w:tc>
          <w:tcPr>
            <w:tcW w:w="1543"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教育与体育大类（67）</w:t>
            </w:r>
          </w:p>
        </w:tc>
        <w:tc>
          <w:tcPr>
            <w:tcW w:w="130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教育类（6701）</w:t>
            </w:r>
          </w:p>
        </w:tc>
        <w:tc>
          <w:tcPr>
            <w:tcW w:w="1021"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教育</w:t>
            </w:r>
          </w:p>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（83）</w:t>
            </w:r>
          </w:p>
        </w:tc>
        <w:tc>
          <w:tcPr>
            <w:tcW w:w="1319"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小学、其他教学人员</w:t>
            </w:r>
          </w:p>
          <w:p>
            <w:pPr>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（2-44）</w:t>
            </w:r>
          </w:p>
        </w:tc>
        <w:tc>
          <w:tcPr>
            <w:tcW w:w="2366"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小学科学、综合实践活动等学科教学岗位</w:t>
            </w:r>
          </w:p>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教学管理与研究岗位</w:t>
            </w:r>
          </w:p>
        </w:tc>
        <w:tc>
          <w:tcPr>
            <w:tcW w:w="159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小学科学教师资格证书</w:t>
            </w:r>
          </w:p>
        </w:tc>
      </w:tr>
    </w:tbl>
    <w:p>
      <w:pPr>
        <w:rPr>
          <w:rFonts w:ascii="黑体" w:hAnsi="黑体" w:eastAsia="黑体" w:cs="宋体"/>
          <w:bCs/>
          <w:sz w:val="24"/>
        </w:rPr>
      </w:pPr>
      <w:r>
        <w:rPr>
          <w:rFonts w:hint="eastAsia" w:ascii="黑体" w:hAnsi="黑体" w:eastAsia="黑体" w:cs="宋体"/>
          <w:bCs/>
          <w:sz w:val="24"/>
        </w:rPr>
        <w:t>五、</w:t>
      </w:r>
      <w:bookmarkStart w:id="0" w:name="OLE_LINK5"/>
      <w:r>
        <w:rPr>
          <w:rFonts w:hint="eastAsia" w:ascii="黑体" w:hAnsi="黑体" w:eastAsia="黑体" w:cs="宋体"/>
          <w:bCs/>
          <w:sz w:val="24"/>
        </w:rPr>
        <w:t>培养目标与培养规格</w:t>
      </w:r>
      <w:bookmarkEnd w:id="0"/>
    </w:p>
    <w:p>
      <w:pPr>
        <w:ind w:firstLine="420" w:firstLineChars="200"/>
        <w:rPr>
          <w:rFonts w:ascii="仿宋_GB2312" w:hAnsi="宋体" w:eastAsia="仿宋_GB2312" w:cs="宋体"/>
          <w:szCs w:val="21"/>
        </w:rPr>
      </w:pPr>
      <w:r>
        <w:rPr>
          <w:rFonts w:hint="eastAsia" w:ascii="仿宋_GB2312" w:hAnsi="宋体" w:eastAsia="仿宋_GB2312" w:cs="宋体"/>
          <w:szCs w:val="21"/>
        </w:rPr>
        <w:t>（一）培养目标</w:t>
      </w:r>
    </w:p>
    <w:p>
      <w:pPr>
        <w:ind w:firstLine="420" w:firstLineChars="200"/>
        <w:rPr>
          <w:rFonts w:ascii="仿宋_GB2312" w:hAnsi="宋体" w:eastAsia="仿宋_GB2312" w:cs="宋体"/>
          <w:szCs w:val="21"/>
        </w:rPr>
      </w:pPr>
      <w:r>
        <w:rPr>
          <w:rFonts w:hint="eastAsia" w:ascii="仿宋_GB2312" w:hAnsi="宋体" w:eastAsia="仿宋_GB2312" w:cs="宋体"/>
          <w:szCs w:val="21"/>
        </w:rPr>
        <w:t>本专业贯彻落实党的教育方针，坚持立德树人，面向现代基础教育改革和发展需要，培养拥护中国共产党领导，</w:t>
      </w:r>
      <w:r>
        <w:rPr>
          <w:rFonts w:hint="eastAsia" w:ascii="仿宋_GB2312" w:hAnsi="宋体" w:eastAsia="仿宋_GB2312" w:cs="宋体"/>
          <w:szCs w:val="21"/>
          <w:lang w:eastAsia="zh-CN"/>
        </w:rPr>
        <w:t>热爱</w:t>
      </w:r>
      <w:r>
        <w:rPr>
          <w:rFonts w:hint="eastAsia" w:ascii="仿宋_GB2312" w:hAnsi="宋体" w:eastAsia="仿宋_GB2312" w:cs="宋体"/>
          <w:szCs w:val="21"/>
        </w:rPr>
        <w:t>中国特色社会主义，德智体美劳全面发展，具备较扎实的小学科学教育方面的基础知识，基本理论、实践技能，具有诚实守信、吃苦耐劳、敬业爱岗，团结进取等方面的职业素养，能够胜任小学、教育机构教学、研究和管理等相关工作的</w:t>
      </w:r>
      <w:r>
        <w:rPr>
          <w:rFonts w:hint="eastAsia" w:ascii="仿宋_GB2312" w:hAnsi="宋体" w:eastAsia="仿宋_GB2312" w:cs="宋体"/>
          <w:szCs w:val="21"/>
          <w:lang w:eastAsia="zh-CN"/>
        </w:rPr>
        <w:t>小学科学教师</w:t>
      </w:r>
      <w:r>
        <w:rPr>
          <w:rFonts w:hint="eastAsia" w:ascii="仿宋_GB2312" w:hAnsi="宋体" w:eastAsia="仿宋_GB2312" w:cs="宋体"/>
          <w:szCs w:val="21"/>
        </w:rPr>
        <w:t>。</w:t>
      </w:r>
    </w:p>
    <w:p>
      <w:pPr>
        <w:ind w:firstLine="420" w:firstLineChars="200"/>
        <w:rPr>
          <w:rFonts w:ascii="仿宋_GB2312" w:hAnsi="宋体" w:eastAsia="仿宋_GB2312" w:cs="宋体"/>
          <w:szCs w:val="21"/>
        </w:rPr>
      </w:pPr>
      <w:r>
        <w:rPr>
          <w:rFonts w:hint="eastAsia" w:ascii="仿宋_GB2312" w:hAnsi="宋体" w:eastAsia="仿宋_GB2312" w:cs="宋体"/>
          <w:szCs w:val="21"/>
        </w:rPr>
        <w:t>（二）培养规格</w:t>
      </w:r>
    </w:p>
    <w:p>
      <w:pPr>
        <w:ind w:firstLine="420" w:firstLineChars="200"/>
        <w:rPr>
          <w:rFonts w:ascii="仿宋_GB2312" w:hAnsi="宋体" w:eastAsia="仿宋_GB2312" w:cs="宋体"/>
          <w:szCs w:val="21"/>
        </w:rPr>
      </w:pPr>
      <w:r>
        <w:rPr>
          <w:rFonts w:hint="eastAsia" w:ascii="仿宋_GB2312" w:hAnsi="宋体" w:eastAsia="仿宋_GB2312" w:cs="宋体"/>
          <w:szCs w:val="21"/>
        </w:rPr>
        <w:t>以“师德为先、学生为本、能力为重、终身学习”的小学教师专业标准的理念指导本专业人才培养规格的制定。</w:t>
      </w:r>
    </w:p>
    <w:p>
      <w:pPr>
        <w:ind w:firstLine="420" w:firstLineChars="200"/>
        <w:rPr>
          <w:rFonts w:ascii="仿宋_GB2312" w:hAnsi="宋体" w:eastAsia="仿宋_GB2312" w:cs="宋体"/>
          <w:szCs w:val="21"/>
        </w:rPr>
      </w:pPr>
      <w:r>
        <w:rPr>
          <w:rFonts w:hint="eastAsia" w:ascii="仿宋_GB2312" w:hAnsi="宋体" w:eastAsia="仿宋_GB2312" w:cs="宋体"/>
          <w:szCs w:val="21"/>
        </w:rPr>
        <w:t>1．知识要求</w:t>
      </w:r>
    </w:p>
    <w:p>
      <w:pPr>
        <w:ind w:firstLine="420" w:firstLineChars="200"/>
        <w:rPr>
          <w:rFonts w:ascii="仿宋_GB2312" w:hAnsi="宋体" w:eastAsia="仿宋_GB2312" w:cs="宋体"/>
          <w:szCs w:val="21"/>
        </w:rPr>
      </w:pPr>
      <w:r>
        <w:rPr>
          <w:rFonts w:hint="eastAsia" w:ascii="仿宋_GB2312" w:hAnsi="宋体" w:eastAsia="仿宋_GB2312" w:cs="宋体"/>
          <w:szCs w:val="21"/>
        </w:rPr>
        <w:t>（1）具有宽泛的人文社会科学知识和相应的艺术欣赏与表现知识，具有适应科学教育内容、教学手段和方法的现代化信息教育技术知识，了解</w:t>
      </w:r>
      <w:r>
        <w:rPr>
          <w:rFonts w:hint="eastAsia" w:ascii="仿宋_GB2312" w:hAnsi="宋体" w:eastAsia="仿宋_GB2312" w:cs="宋体"/>
          <w:szCs w:val="21"/>
          <w:lang w:eastAsia="zh-CN"/>
        </w:rPr>
        <w:t>国内外教育</w:t>
      </w:r>
      <w:r>
        <w:rPr>
          <w:rFonts w:hint="eastAsia" w:ascii="仿宋_GB2312" w:hAnsi="宋体" w:eastAsia="仿宋_GB2312" w:cs="宋体"/>
          <w:szCs w:val="21"/>
        </w:rPr>
        <w:t xml:space="preserve">的基本情况。 </w:t>
      </w:r>
    </w:p>
    <w:p>
      <w:pPr>
        <w:ind w:firstLine="420" w:firstLineChars="200"/>
        <w:rPr>
          <w:rFonts w:ascii="仿宋_GB2312" w:hAnsi="宋体" w:eastAsia="仿宋_GB2312" w:cs="宋体"/>
          <w:szCs w:val="21"/>
        </w:rPr>
      </w:pPr>
      <w:r>
        <w:rPr>
          <w:rFonts w:hint="eastAsia" w:ascii="仿宋_GB2312" w:hAnsi="宋体" w:eastAsia="仿宋_GB2312" w:cs="宋体"/>
          <w:szCs w:val="21"/>
        </w:rPr>
        <w:t xml:space="preserve">（2）掌握小学教育教学基本理论，掌握儿童品行养成的特点和规律。懂得促进儿童全面发展的策略和方法。掌握小学班队管理的知识和方法。 </w:t>
      </w:r>
    </w:p>
    <w:p>
      <w:pPr>
        <w:ind w:firstLine="420" w:firstLineChars="200"/>
        <w:rPr>
          <w:rFonts w:ascii="仿宋_GB2312" w:hAnsi="宋体" w:eastAsia="仿宋_GB2312" w:cs="宋体"/>
          <w:szCs w:val="21"/>
        </w:rPr>
      </w:pPr>
      <w:r>
        <w:rPr>
          <w:rFonts w:hint="eastAsia" w:ascii="仿宋_GB2312" w:hAnsi="宋体" w:eastAsia="仿宋_GB2312" w:cs="宋体"/>
          <w:szCs w:val="21"/>
        </w:rPr>
        <w:t xml:space="preserve">（3）掌握自然科学基础知识体系、基本思想与方法，了解科学教育的前沿动态，掌握小学科学教育的基本理论、基本方法，能够依据教育规律和儿童身心发展特点，培养儿童的科学素养，促进儿童保持与生俱来的好奇心，发展学习科学的潜力。 </w:t>
      </w:r>
    </w:p>
    <w:p>
      <w:pPr>
        <w:ind w:firstLine="420" w:firstLineChars="200"/>
        <w:rPr>
          <w:rFonts w:ascii="仿宋_GB2312" w:hAnsi="宋体" w:eastAsia="仿宋_GB2312" w:cs="宋体"/>
          <w:szCs w:val="21"/>
        </w:rPr>
      </w:pPr>
      <w:r>
        <w:rPr>
          <w:rFonts w:hint="eastAsia" w:ascii="仿宋_GB2312" w:hAnsi="宋体" w:eastAsia="仿宋_GB2312" w:cs="宋体"/>
          <w:szCs w:val="21"/>
        </w:rPr>
        <w:t>2．能力要求</w:t>
      </w:r>
    </w:p>
    <w:p>
      <w:pPr>
        <w:ind w:firstLine="420" w:firstLineChars="200"/>
        <w:rPr>
          <w:rFonts w:ascii="仿宋_GB2312" w:hAnsi="宋体" w:eastAsia="仿宋_GB2312" w:cs="宋体"/>
          <w:szCs w:val="21"/>
        </w:rPr>
      </w:pPr>
      <w:r>
        <w:rPr>
          <w:rFonts w:hint="eastAsia" w:ascii="仿宋_GB2312" w:hAnsi="宋体" w:eastAsia="仿宋_GB2312" w:cs="宋体"/>
          <w:szCs w:val="21"/>
        </w:rPr>
        <w:t>（1）教育实践能力：具有进行教育教学设计、组织与实施、展示与表达、激励与评价、沟通与合作、反思与发展的能力。</w:t>
      </w:r>
    </w:p>
    <w:p>
      <w:pPr>
        <w:ind w:firstLine="420" w:firstLineChars="200"/>
        <w:rPr>
          <w:rFonts w:ascii="仿宋_GB2312" w:hAnsi="宋体" w:eastAsia="仿宋_GB2312" w:cs="宋体"/>
          <w:szCs w:val="21"/>
        </w:rPr>
      </w:pPr>
      <w:r>
        <w:rPr>
          <w:rFonts w:hint="eastAsia" w:ascii="仿宋_GB2312" w:hAnsi="宋体" w:eastAsia="仿宋_GB2312" w:cs="宋体"/>
          <w:szCs w:val="21"/>
        </w:rPr>
        <w:t>科学课程教学能力：能够正确编写小学科学教案；能够进行科学探究活动的设计、开发与活动实施；能够进行科学实验的规范操作、演示与讲解；能够进行科学实验仪器的管理、维护与使用（含信息技术设施设备）；能够自制教具辅助教学。</w:t>
      </w:r>
    </w:p>
    <w:p>
      <w:pPr>
        <w:ind w:firstLine="420" w:firstLineChars="200"/>
        <w:rPr>
          <w:rFonts w:ascii="仿宋_GB2312" w:hAnsi="宋体" w:eastAsia="仿宋_GB2312" w:cs="宋体"/>
          <w:szCs w:val="21"/>
        </w:rPr>
      </w:pPr>
      <w:r>
        <w:rPr>
          <w:rFonts w:hint="eastAsia" w:ascii="仿宋_GB2312" w:hAnsi="宋体" w:eastAsia="仿宋_GB2312" w:cs="宋体"/>
          <w:szCs w:val="21"/>
        </w:rPr>
        <w:t>科技活动的策划与组织能力：能够指导学校常规的科技小组开展活动；能够策划组织、指导评价小学物质世界、生命世界、地球与宇宙等领域的小型科技活动。</w:t>
      </w:r>
    </w:p>
    <w:p>
      <w:pPr>
        <w:ind w:firstLine="420" w:firstLineChars="200"/>
        <w:rPr>
          <w:rFonts w:ascii="仿宋_GB2312" w:hAnsi="宋体" w:eastAsia="仿宋_GB2312" w:cs="宋体"/>
          <w:szCs w:val="21"/>
        </w:rPr>
      </w:pPr>
      <w:r>
        <w:rPr>
          <w:rFonts w:hint="eastAsia" w:ascii="仿宋_GB2312" w:hAnsi="宋体" w:eastAsia="仿宋_GB2312" w:cs="宋体"/>
          <w:szCs w:val="21"/>
        </w:rPr>
        <w:t>（2）教育科研能力：具有教学媒体设计、开发、应用、管理和评价的基本能力，了解国内外教育科学技术学的理论前沿、应用前景和发展动态，具有搜集资料、开发信息的能力；具有独立设计和进行科学教学研究；了解自然科学发展历史、发展动态以及科学技术与社会环境的关系，有良好的科学思维和科学普及、推广能力。</w:t>
      </w:r>
    </w:p>
    <w:p>
      <w:pPr>
        <w:ind w:firstLine="420" w:firstLineChars="200"/>
        <w:rPr>
          <w:rFonts w:ascii="仿宋_GB2312" w:hAnsi="宋体" w:eastAsia="仿宋_GB2312" w:cs="宋体"/>
          <w:szCs w:val="21"/>
        </w:rPr>
      </w:pPr>
      <w:r>
        <w:rPr>
          <w:rFonts w:hint="eastAsia" w:ascii="仿宋_GB2312" w:hAnsi="宋体" w:eastAsia="仿宋_GB2312" w:cs="宋体"/>
          <w:szCs w:val="21"/>
        </w:rPr>
        <w:t>（3）具有较好的文字、语言表达能力；具有开拓的精神，严谨的治学作风；具有体育以及计算机应用的基础知识和基本技能，具有终身学习、适应转岗以及自主创业的能力。</w:t>
      </w:r>
    </w:p>
    <w:p>
      <w:pPr>
        <w:ind w:firstLine="420" w:firstLineChars="200"/>
        <w:rPr>
          <w:rFonts w:ascii="仿宋_GB2312" w:hAnsi="宋体" w:eastAsia="仿宋_GB2312" w:cs="宋体"/>
          <w:szCs w:val="21"/>
        </w:rPr>
      </w:pPr>
      <w:r>
        <w:rPr>
          <w:rFonts w:hint="eastAsia" w:ascii="仿宋_GB2312" w:hAnsi="宋体" w:eastAsia="仿宋_GB2312" w:cs="宋体"/>
          <w:szCs w:val="21"/>
        </w:rPr>
        <w:t>3.素质要求</w:t>
      </w:r>
    </w:p>
    <w:p>
      <w:pPr>
        <w:ind w:firstLine="420" w:firstLineChars="200"/>
        <w:rPr>
          <w:rFonts w:ascii="仿宋_GB2312" w:hAnsi="宋体" w:eastAsia="仿宋_GB2312" w:cs="宋体"/>
          <w:szCs w:val="21"/>
        </w:rPr>
      </w:pPr>
      <w:r>
        <w:rPr>
          <w:rFonts w:hint="eastAsia" w:ascii="仿宋_GB2312" w:hAnsi="宋体" w:eastAsia="仿宋_GB2312" w:cs="宋体"/>
          <w:szCs w:val="21"/>
          <w:lang w:eastAsia="zh-CN"/>
        </w:rPr>
        <w:t>（</w:t>
      </w:r>
      <w:r>
        <w:rPr>
          <w:rFonts w:hint="eastAsia" w:ascii="仿宋_GB2312" w:hAnsi="宋体" w:eastAsia="仿宋_GB2312" w:cs="宋体"/>
          <w:szCs w:val="21"/>
          <w:lang w:val="en-US" w:eastAsia="zh-CN"/>
        </w:rPr>
        <w:t>1）</w:t>
      </w:r>
      <w:r>
        <w:rPr>
          <w:rFonts w:hint="eastAsia" w:ascii="仿宋_GB2312" w:hAnsi="宋体" w:eastAsia="仿宋_GB2312" w:cs="宋体"/>
          <w:szCs w:val="21"/>
        </w:rPr>
        <w:t>具有正确的世界观、人生观、价值观。坚决拥护中国共产党领导和我国社会主义制度，在习近平新时代中国特色社会主义思想指引下，树立中国特色社会主义共同理想，践行社会主义核心价值观，具有深厚的爱国情感、国家认同感、中华民族自豪感；崇尚宪法、遵守法律、遵规守纪；具有社会责任感和参与意识。</w:t>
      </w:r>
    </w:p>
    <w:p>
      <w:pPr>
        <w:ind w:firstLine="420" w:firstLineChars="200"/>
        <w:rPr>
          <w:rFonts w:ascii="仿宋_GB2312" w:hAnsi="宋体" w:eastAsia="仿宋_GB2312" w:cs="宋体"/>
          <w:szCs w:val="21"/>
        </w:rPr>
      </w:pPr>
      <w:r>
        <w:rPr>
          <w:rFonts w:hint="eastAsia" w:ascii="仿宋_GB2312" w:hAnsi="宋体" w:eastAsia="仿宋_GB2312" w:cs="宋体"/>
          <w:szCs w:val="21"/>
          <w:lang w:eastAsia="zh-CN"/>
        </w:rPr>
        <w:t>（</w:t>
      </w:r>
      <w:r>
        <w:rPr>
          <w:rFonts w:hint="eastAsia" w:ascii="仿宋_GB2312" w:hAnsi="宋体" w:eastAsia="仿宋_GB2312" w:cs="宋体"/>
          <w:szCs w:val="21"/>
          <w:lang w:val="en-US" w:eastAsia="zh-CN"/>
        </w:rPr>
        <w:t>2）</w:t>
      </w:r>
      <w:r>
        <w:rPr>
          <w:rFonts w:hint="eastAsia" w:ascii="仿宋_GB2312" w:hAnsi="宋体" w:eastAsia="仿宋_GB2312" w:cs="宋体"/>
          <w:szCs w:val="21"/>
        </w:rPr>
        <w:t>具有良好的职业道德和职业素养。崇德向善、诚实守信、爱岗敬业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pPr>
        <w:ind w:firstLine="420" w:firstLineChars="200"/>
        <w:rPr>
          <w:rFonts w:ascii="仿宋_GB2312" w:hAnsi="宋体" w:eastAsia="仿宋_GB2312" w:cs="宋体"/>
          <w:szCs w:val="21"/>
        </w:rPr>
      </w:pPr>
      <w:r>
        <w:rPr>
          <w:rFonts w:hint="eastAsia" w:ascii="仿宋_GB2312" w:hAnsi="宋体" w:eastAsia="仿宋_GB2312" w:cs="宋体"/>
          <w:szCs w:val="21"/>
          <w:lang w:eastAsia="zh-CN"/>
        </w:rPr>
        <w:t>（</w:t>
      </w:r>
      <w:r>
        <w:rPr>
          <w:rFonts w:hint="eastAsia" w:ascii="仿宋_GB2312" w:hAnsi="宋体" w:eastAsia="仿宋_GB2312" w:cs="宋体"/>
          <w:szCs w:val="21"/>
          <w:lang w:val="en-US" w:eastAsia="zh-CN"/>
        </w:rPr>
        <w:t>3）</w:t>
      </w:r>
      <w:r>
        <w:rPr>
          <w:rFonts w:hint="eastAsia" w:ascii="仿宋_GB2312" w:hAnsi="宋体" w:eastAsia="仿宋_GB2312" w:cs="宋体"/>
          <w:szCs w:val="21"/>
        </w:rPr>
        <w:t>具有良好的身心素质和人文素养。具有健康的体魄和心理、健全的人格，能够掌握基本运动知识和一两项运动技能；具有</w:t>
      </w:r>
      <w:bookmarkStart w:id="1" w:name="_GoBack"/>
      <w:bookmarkEnd w:id="1"/>
      <w:r>
        <w:rPr>
          <w:rFonts w:hint="eastAsia" w:ascii="仿宋_GB2312" w:hAnsi="宋体" w:eastAsia="仿宋_GB2312" w:cs="宋体"/>
          <w:szCs w:val="21"/>
        </w:rPr>
        <w:t>感受美、表现美、鉴赏美、创造美的能力，具有一定的审美和人文素养，能够形成一两项艺术特长或爱好；掌握一定的学习方法，具有良好的生活习惯、行为习惯和自我管理能力。</w:t>
      </w:r>
    </w:p>
    <w:p>
      <w:pPr>
        <w:outlineLvl w:val="0"/>
        <w:rPr>
          <w:rFonts w:ascii="黑体" w:hAnsi="黑体" w:eastAsia="黑体" w:cs="宋体"/>
          <w:bCs/>
          <w:sz w:val="24"/>
        </w:rPr>
      </w:pPr>
      <w:r>
        <w:rPr>
          <w:rFonts w:hint="eastAsia" w:ascii="黑体" w:hAnsi="黑体" w:eastAsia="黑体" w:cs="宋体"/>
          <w:bCs/>
          <w:sz w:val="24"/>
        </w:rPr>
        <w:t>六、课程设置及要求</w:t>
      </w:r>
    </w:p>
    <w:p>
      <w:pPr>
        <w:ind w:firstLine="315" w:firstLineChars="150"/>
        <w:rPr>
          <w:rFonts w:ascii="仿宋_GB2312" w:hAnsi="宋体" w:eastAsia="仿宋_GB2312" w:cs="宋体"/>
          <w:szCs w:val="21"/>
        </w:rPr>
      </w:pPr>
      <w:r>
        <w:rPr>
          <w:rFonts w:hint="eastAsia" w:ascii="仿宋_GB2312" w:hAnsi="宋体" w:eastAsia="仿宋_GB2312" w:cs="宋体"/>
          <w:szCs w:val="21"/>
        </w:rPr>
        <w:t xml:space="preserve"> 根据培养目标和人才培养规格，课程结构依据《教育部关于印发&lt; 普通高等学校师范类专业论证实施办法（暂行）的通知&gt;》（教师 [2017]13号）《教育部关于大力推进教师教育课程改革的意见》（教师[2011]6号）文件精神及《教育部关于职业院校专业人才培养方案制定与实施工作的指导意见》（教职成[2019]13号）文件精神和《教师教育课程标准》、《小学教师专业标准》来设置，</w:t>
      </w:r>
      <w:r>
        <w:rPr>
          <w:rFonts w:hint="eastAsia" w:ascii="仿宋_GB2312" w:hAnsi="宋体" w:eastAsia="仿宋_GB2312" w:cs="宋体"/>
          <w:szCs w:val="21"/>
          <w:lang w:eastAsia="zh-CN"/>
        </w:rPr>
        <w:t>将</w:t>
      </w:r>
      <w:r>
        <w:rPr>
          <w:rFonts w:hint="eastAsia" w:ascii="仿宋_GB2312" w:hAnsi="宋体" w:eastAsia="仿宋_GB2312" w:cs="宋体"/>
          <w:szCs w:val="21"/>
        </w:rPr>
        <w:t>本专业课程体系</w:t>
      </w:r>
      <w:r>
        <w:rPr>
          <w:rFonts w:hint="eastAsia" w:ascii="仿宋_GB2312" w:hAnsi="宋体" w:eastAsia="仿宋_GB2312" w:cs="宋体"/>
          <w:szCs w:val="21"/>
          <w:lang w:eastAsia="zh-CN"/>
        </w:rPr>
        <w:t>由</w:t>
      </w:r>
      <w:r>
        <w:rPr>
          <w:rFonts w:hint="eastAsia" w:ascii="仿宋_GB2312" w:hAnsi="宋体" w:eastAsia="仿宋_GB2312" w:cs="宋体"/>
          <w:szCs w:val="21"/>
        </w:rPr>
        <w:t>课程分为公共基础课（必修、选修），专业（技能）课程{含专业基础课（教师教育类课程必修）、专业核心课（学科专业课程必修）、学科专业拓展课（选修课）}、实践课三个模块构成。实施以教师教育类课程为核心、以科学基础性学科为重点，公共基础类课程为基础来拓展培养学生的学科思维能力。</w:t>
      </w:r>
    </w:p>
    <w:p>
      <w:pPr>
        <w:numPr>
          <w:ilvl w:val="0"/>
          <w:numId w:val="1"/>
        </w:numPr>
        <w:ind w:firstLine="422" w:firstLineChars="200"/>
        <w:rPr>
          <w:rFonts w:ascii="仿宋_GB2312" w:hAnsi="宋体" w:eastAsia="仿宋_GB2312" w:cs="宋体"/>
          <w:b/>
          <w:szCs w:val="21"/>
        </w:rPr>
      </w:pPr>
      <w:r>
        <w:rPr>
          <w:rFonts w:hint="eastAsia" w:ascii="仿宋_GB2312" w:hAnsi="宋体" w:eastAsia="仿宋_GB2312" w:cs="宋体"/>
          <w:b/>
          <w:szCs w:val="21"/>
        </w:rPr>
        <w:t>公共基础课程</w:t>
      </w:r>
    </w:p>
    <w:tbl>
      <w:tblPr>
        <w:tblStyle w:val="21"/>
        <w:tblW w:w="9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742"/>
        <w:gridCol w:w="851"/>
        <w:gridCol w:w="2594"/>
        <w:gridCol w:w="2651"/>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387" w:type="dxa"/>
            <w:vAlign w:val="center"/>
          </w:tcPr>
          <w:p>
            <w:pPr>
              <w:rPr>
                <w:rFonts w:hint="eastAsia" w:ascii="仿宋_GB2312" w:hAnsi="宋体" w:eastAsia="仿宋_GB2312"/>
                <w:sz w:val="18"/>
                <w:szCs w:val="18"/>
              </w:rPr>
            </w:pPr>
            <w:r>
              <w:rPr>
                <w:rFonts w:hint="eastAsia" w:ascii="仿宋_GB2312" w:hAnsi="宋体" w:eastAsia="仿宋_GB2312"/>
                <w:sz w:val="18"/>
                <w:szCs w:val="18"/>
              </w:rPr>
              <w:t>序号</w:t>
            </w:r>
          </w:p>
        </w:tc>
        <w:tc>
          <w:tcPr>
            <w:tcW w:w="742" w:type="dxa"/>
            <w:vAlign w:val="center"/>
          </w:tcPr>
          <w:p>
            <w:pPr>
              <w:rPr>
                <w:rFonts w:hint="eastAsia" w:ascii="仿宋_GB2312" w:hAnsi="宋体" w:eastAsia="仿宋_GB2312"/>
                <w:sz w:val="18"/>
                <w:szCs w:val="18"/>
              </w:rPr>
            </w:pPr>
            <w:r>
              <w:rPr>
                <w:rFonts w:hint="eastAsia" w:ascii="仿宋_GB2312" w:hAnsi="宋体" w:eastAsia="仿宋_GB2312"/>
                <w:sz w:val="18"/>
                <w:szCs w:val="18"/>
              </w:rPr>
              <w:t>课程模块</w:t>
            </w:r>
          </w:p>
        </w:tc>
        <w:tc>
          <w:tcPr>
            <w:tcW w:w="851" w:type="dxa"/>
            <w:vAlign w:val="center"/>
          </w:tcPr>
          <w:p>
            <w:pPr>
              <w:rPr>
                <w:rFonts w:hint="eastAsia" w:ascii="仿宋_GB2312" w:hAnsi="宋体" w:eastAsia="仿宋_GB2312"/>
                <w:sz w:val="18"/>
                <w:szCs w:val="18"/>
              </w:rPr>
            </w:pPr>
            <w:r>
              <w:rPr>
                <w:rFonts w:hint="eastAsia" w:ascii="仿宋_GB2312" w:hAnsi="宋体" w:eastAsia="仿宋_GB2312"/>
                <w:sz w:val="18"/>
                <w:szCs w:val="18"/>
              </w:rPr>
              <w:t>课程</w:t>
            </w:r>
          </w:p>
          <w:p>
            <w:pPr>
              <w:rPr>
                <w:rFonts w:hint="eastAsia" w:ascii="仿宋_GB2312" w:hAnsi="宋体" w:eastAsia="仿宋_GB2312"/>
                <w:sz w:val="18"/>
                <w:szCs w:val="18"/>
              </w:rPr>
            </w:pPr>
            <w:r>
              <w:rPr>
                <w:rFonts w:hint="eastAsia" w:ascii="仿宋_GB2312" w:hAnsi="宋体" w:eastAsia="仿宋_GB2312"/>
                <w:sz w:val="18"/>
                <w:szCs w:val="18"/>
              </w:rPr>
              <w:t>名称</w:t>
            </w:r>
          </w:p>
        </w:tc>
        <w:tc>
          <w:tcPr>
            <w:tcW w:w="2594" w:type="dxa"/>
            <w:vAlign w:val="center"/>
          </w:tcPr>
          <w:p>
            <w:pPr>
              <w:rPr>
                <w:rFonts w:hint="eastAsia" w:ascii="仿宋_GB2312" w:hAnsi="宋体" w:eastAsia="仿宋_GB2312"/>
                <w:sz w:val="18"/>
                <w:szCs w:val="18"/>
              </w:rPr>
            </w:pPr>
            <w:r>
              <w:rPr>
                <w:rFonts w:hint="eastAsia" w:ascii="仿宋_GB2312" w:hAnsi="宋体" w:eastAsia="仿宋_GB2312"/>
                <w:sz w:val="18"/>
                <w:szCs w:val="18"/>
              </w:rPr>
              <w:t>课程目标</w:t>
            </w:r>
          </w:p>
        </w:tc>
        <w:tc>
          <w:tcPr>
            <w:tcW w:w="2651" w:type="dxa"/>
            <w:vAlign w:val="center"/>
          </w:tcPr>
          <w:p>
            <w:pPr>
              <w:rPr>
                <w:rFonts w:hint="eastAsia" w:ascii="仿宋_GB2312" w:hAnsi="宋体" w:eastAsia="仿宋_GB2312"/>
                <w:sz w:val="18"/>
                <w:szCs w:val="18"/>
              </w:rPr>
            </w:pPr>
            <w:r>
              <w:rPr>
                <w:rFonts w:hint="eastAsia" w:ascii="仿宋_GB2312" w:hAnsi="宋体" w:eastAsia="仿宋_GB2312"/>
                <w:sz w:val="18"/>
                <w:szCs w:val="18"/>
              </w:rPr>
              <w:t>主要内容</w:t>
            </w:r>
          </w:p>
        </w:tc>
        <w:tc>
          <w:tcPr>
            <w:tcW w:w="2204" w:type="dxa"/>
            <w:vAlign w:val="center"/>
          </w:tcPr>
          <w:p>
            <w:pPr>
              <w:rPr>
                <w:rFonts w:hint="eastAsia" w:ascii="仿宋_GB2312" w:hAnsi="宋体" w:eastAsia="仿宋_GB2312"/>
                <w:sz w:val="18"/>
                <w:szCs w:val="18"/>
              </w:rPr>
            </w:pPr>
            <w:r>
              <w:rPr>
                <w:rFonts w:hint="eastAsia" w:ascii="仿宋_GB2312" w:hAnsi="宋体" w:eastAsia="仿宋_GB2312"/>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 w:type="dxa"/>
            <w:vAlign w:val="center"/>
          </w:tcPr>
          <w:p>
            <w:pPr>
              <w:widowControl/>
              <w:rPr>
                <w:rFonts w:hint="eastAsia" w:ascii="仿宋_GB2312" w:hAnsi="宋体" w:eastAsia="仿宋_GB2312"/>
                <w:sz w:val="18"/>
                <w:szCs w:val="18"/>
              </w:rPr>
            </w:pPr>
            <w:r>
              <w:rPr>
                <w:rFonts w:hint="eastAsia" w:ascii="仿宋_GB2312" w:hAnsi="等线" w:eastAsia="仿宋_GB2312"/>
                <w:sz w:val="18"/>
                <w:szCs w:val="18"/>
              </w:rPr>
              <w:t>A031101</w:t>
            </w:r>
          </w:p>
        </w:tc>
        <w:tc>
          <w:tcPr>
            <w:tcW w:w="742"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公共必修</w:t>
            </w:r>
          </w:p>
          <w:p>
            <w:pPr>
              <w:rPr>
                <w:rFonts w:hint="eastAsia" w:ascii="仿宋_GB2312" w:hAnsi="宋体" w:eastAsia="仿宋_GB2312"/>
                <w:sz w:val="18"/>
                <w:szCs w:val="18"/>
              </w:rPr>
            </w:pPr>
          </w:p>
        </w:tc>
        <w:tc>
          <w:tcPr>
            <w:tcW w:w="851" w:type="dxa"/>
            <w:vAlign w:val="center"/>
          </w:tcPr>
          <w:p>
            <w:pPr>
              <w:rPr>
                <w:rFonts w:hint="eastAsia" w:ascii="仿宋_GB2312" w:eastAsia="仿宋_GB2312" w:cs="宋体" w:hAnsiTheme="minorEastAsia"/>
                <w:color w:val="000000"/>
                <w:w w:val="66"/>
                <w:sz w:val="18"/>
                <w:szCs w:val="18"/>
              </w:rPr>
            </w:pPr>
            <w:r>
              <w:rPr>
                <w:rFonts w:hint="eastAsia" w:ascii="仿宋_GB2312" w:eastAsia="仿宋_GB2312" w:cs="宋体" w:hAnsiTheme="minorEastAsia"/>
                <w:color w:val="000000"/>
                <w:sz w:val="18"/>
                <w:szCs w:val="18"/>
              </w:rPr>
              <w:t>思想道德修养与法律(含师德）</w:t>
            </w:r>
          </w:p>
        </w:tc>
        <w:tc>
          <w:tcPr>
            <w:tcW w:w="2594" w:type="dxa"/>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该课程有助于大学生领悟人生真谛，坚定理想信念，践行社会主义核心价值观，做新时代的忠诚爱国者和改革创新的生力军；有助于大学生形成正确的道德认知，积极投身道德实践，做到明大德、守公德、严私德;有助于大学生全面把握社会主义法律的本质、运行和体系，理解中国特色社会主义法治体系和法治道路的精髓，增进法治意识，养成法治思维，更好行使法律权利、履行法律义务，做到尊法学法守法用法，从而具备优秀的思想道德素质和法治素养。</w:t>
            </w:r>
          </w:p>
        </w:tc>
        <w:tc>
          <w:tcPr>
            <w:tcW w:w="2651" w:type="dxa"/>
            <w:vAlign w:val="center"/>
          </w:tcPr>
          <w:p>
            <w:pPr>
              <w:rPr>
                <w:rFonts w:hint="eastAsia" w:ascii="仿宋_GB2312" w:eastAsia="仿宋_GB2312" w:hAnsiTheme="minorEastAsia"/>
                <w:sz w:val="18"/>
                <w:szCs w:val="18"/>
              </w:rPr>
            </w:pPr>
            <w:r>
              <w:rPr>
                <w:rFonts w:hint="eastAsia" w:ascii="仿宋_GB2312" w:eastAsia="仿宋_GB2312" w:hAnsiTheme="minorEastAsia"/>
                <w:color w:val="000000"/>
                <w:sz w:val="18"/>
                <w:szCs w:val="18"/>
              </w:rPr>
              <w:t>教材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204" w:type="dxa"/>
            <w:vAlign w:val="center"/>
          </w:tcPr>
          <w:p>
            <w:pPr>
              <w:rPr>
                <w:rFonts w:hint="eastAsia" w:ascii="仿宋_GB2312" w:eastAsia="仿宋_GB2312" w:hAnsiTheme="minorEastAsia"/>
                <w:sz w:val="18"/>
                <w:szCs w:val="18"/>
              </w:rPr>
            </w:pPr>
            <w:r>
              <w:rPr>
                <w:rFonts w:hint="eastAsia" w:ascii="仿宋_GB2312" w:eastAsia="仿宋_GB2312" w:hAnsiTheme="minorEastAsia"/>
                <w:color w:val="000000"/>
                <w:sz w:val="18"/>
                <w:szCs w:val="18"/>
              </w:rPr>
              <w:t>严格落实《新时代高校思想政治理论课教学工作基本要求》，以课堂教学为主，网络教学为辅，中班、小班授课，创新备课形式，综合运用多种教学方法手段，理论学习和实践体验相结合。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 w:type="dxa"/>
            <w:vAlign w:val="center"/>
          </w:tcPr>
          <w:p>
            <w:pPr>
              <w:rPr>
                <w:rFonts w:hint="eastAsia" w:ascii="仿宋_GB2312" w:hAnsi="宋体" w:eastAsia="仿宋_GB2312"/>
                <w:sz w:val="18"/>
                <w:szCs w:val="18"/>
              </w:rPr>
            </w:pPr>
            <w:r>
              <w:rPr>
                <w:rFonts w:hint="eastAsia" w:ascii="仿宋_GB2312" w:hAnsi="等线" w:eastAsia="仿宋_GB2312"/>
                <w:sz w:val="18"/>
                <w:szCs w:val="18"/>
              </w:rPr>
              <w:t>A031102</w:t>
            </w:r>
          </w:p>
        </w:tc>
        <w:tc>
          <w:tcPr>
            <w:tcW w:w="742" w:type="dxa"/>
            <w:vMerge w:val="continue"/>
            <w:vAlign w:val="center"/>
          </w:tcPr>
          <w:p>
            <w:pPr>
              <w:rPr>
                <w:rFonts w:hint="eastAsia" w:ascii="仿宋_GB2312" w:hAnsi="宋体" w:eastAsia="仿宋_GB2312"/>
                <w:sz w:val="18"/>
                <w:szCs w:val="18"/>
              </w:rPr>
            </w:pPr>
          </w:p>
        </w:tc>
        <w:tc>
          <w:tcPr>
            <w:tcW w:w="851" w:type="dxa"/>
            <w:vAlign w:val="center"/>
          </w:tcPr>
          <w:p>
            <w:pPr>
              <w:rPr>
                <w:rFonts w:hint="eastAsia" w:ascii="仿宋_GB2312" w:eastAsia="仿宋_GB2312" w:cs="宋体" w:hAnsiTheme="minorEastAsia"/>
                <w:color w:val="000000"/>
                <w:spacing w:val="-20"/>
                <w:sz w:val="18"/>
                <w:szCs w:val="18"/>
              </w:rPr>
            </w:pPr>
            <w:r>
              <w:rPr>
                <w:rFonts w:hint="eastAsia" w:ascii="仿宋_GB2312" w:eastAsia="仿宋_GB2312" w:cs="宋体" w:hAnsiTheme="minorEastAsia"/>
                <w:color w:val="000000"/>
                <w:sz w:val="18"/>
                <w:szCs w:val="18"/>
              </w:rPr>
              <w:t>毛泽东思想和中国特色社会主义理论体系概论</w:t>
            </w:r>
          </w:p>
        </w:tc>
        <w:tc>
          <w:tcPr>
            <w:tcW w:w="2594" w:type="dxa"/>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该课程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2651" w:type="dxa"/>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教材以马克思主义中国化为主线，集中阐述马克思主义中国化理论成果的主要内容、精神实质、历史地位和指导意义，充分反映中国共产党不断推进马克思主义基本原理与中国具体实际相结合的历史进程和基本经验；以马克思主义中国化最新成果为重点，全面把握中国特色社会主义进入新时代，系统阐释习近平新时代中国特色社会主义思想的主要内容和历史地位，充分反映建设社会主义现代化强国的战略部署。</w:t>
            </w:r>
          </w:p>
        </w:tc>
        <w:tc>
          <w:tcPr>
            <w:tcW w:w="2204" w:type="dxa"/>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严格落实《新时代高校思想政治理论课教学工作基本要求》，以课堂教学为主，网络教学为辅，中班、小班授课，创新备课形式，综合运用多种教学方法手段，理论学习和实践体验相结合。教学中注重以下三点：一是努力掌握基本理论。二是坚持理论联系实际，</w:t>
            </w:r>
            <w:r>
              <w:rPr>
                <w:rFonts w:hint="eastAsia" w:ascii="仿宋_GB2312" w:eastAsia="仿宋_GB2312" w:hAnsiTheme="minorEastAsia"/>
                <w:kern w:val="0"/>
                <w:sz w:val="18"/>
                <w:szCs w:val="18"/>
              </w:rPr>
              <w:t>三是培养理论思考习惯。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 w:type="dxa"/>
            <w:vAlign w:val="center"/>
          </w:tcPr>
          <w:p>
            <w:pPr>
              <w:rPr>
                <w:rFonts w:hint="eastAsia" w:ascii="仿宋_GB2312" w:hAnsi="宋体" w:eastAsia="仿宋_GB2312"/>
                <w:sz w:val="18"/>
                <w:szCs w:val="18"/>
              </w:rPr>
            </w:pPr>
            <w:r>
              <w:rPr>
                <w:rFonts w:hint="eastAsia" w:ascii="仿宋_GB2312" w:hAnsi="等线" w:eastAsia="仿宋_GB2312"/>
                <w:sz w:val="18"/>
                <w:szCs w:val="18"/>
              </w:rPr>
              <w:t>A031103</w:t>
            </w:r>
          </w:p>
        </w:tc>
        <w:tc>
          <w:tcPr>
            <w:tcW w:w="742" w:type="dxa"/>
            <w:vMerge w:val="continue"/>
            <w:vAlign w:val="center"/>
          </w:tcPr>
          <w:p>
            <w:pPr>
              <w:rPr>
                <w:rFonts w:hint="eastAsia" w:ascii="仿宋_GB2312" w:hAnsi="宋体" w:eastAsia="仿宋_GB2312"/>
                <w:sz w:val="18"/>
                <w:szCs w:val="18"/>
              </w:rPr>
            </w:pPr>
          </w:p>
        </w:tc>
        <w:tc>
          <w:tcPr>
            <w:tcW w:w="851" w:type="dxa"/>
            <w:vAlign w:val="center"/>
          </w:tcPr>
          <w:p>
            <w:pPr>
              <w:rPr>
                <w:rFonts w:hint="eastAsia" w:ascii="仿宋_GB2312" w:eastAsia="仿宋_GB2312" w:cs="宋体" w:hAnsiTheme="minorEastAsia"/>
                <w:color w:val="000000"/>
                <w:sz w:val="18"/>
                <w:szCs w:val="18"/>
              </w:rPr>
            </w:pPr>
            <w:r>
              <w:rPr>
                <w:rFonts w:hint="eastAsia" w:ascii="仿宋_GB2312" w:eastAsia="仿宋_GB2312" w:cs="宋体" w:hAnsiTheme="minorEastAsia"/>
                <w:color w:val="000000"/>
                <w:sz w:val="18"/>
                <w:szCs w:val="18"/>
              </w:rPr>
              <w:t>形势与政策</w:t>
            </w:r>
          </w:p>
        </w:tc>
        <w:tc>
          <w:tcPr>
            <w:tcW w:w="2594" w:type="dxa"/>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该课程是理论武装时效性、释疑解惑针对性、教育引导综合性都很强的一门高校思想政治理论课，是帮助大学生正确认识新时代国内外形势，深刻领会党的十八大以来党和国家事业取得的历史性成就、发生的历史性变革、面临的历史性机遇和挑战的核心课程，第一时间推动党的理论创新成果进教材进课堂进学生头脑，引导大学生准确理解党的基本理论、基本路线、基本方略，引导学生正确认识世界和中国发展大势，正确认识中国特色和国际比较，正确认识时代责任和历史使命，正确认识远大抱负和脚踏实地，成为担当民族复兴大任的时代新人。</w:t>
            </w:r>
          </w:p>
        </w:tc>
        <w:tc>
          <w:tcPr>
            <w:tcW w:w="2651" w:type="dxa"/>
            <w:vAlign w:val="center"/>
          </w:tcPr>
          <w:p>
            <w:pPr>
              <w:rPr>
                <w:rFonts w:hint="eastAsia" w:ascii="仿宋_GB2312" w:eastAsia="仿宋_GB2312" w:hAnsiTheme="minorEastAsia"/>
                <w:sz w:val="18"/>
                <w:szCs w:val="18"/>
              </w:rPr>
            </w:pPr>
            <w:r>
              <w:rPr>
                <w:rFonts w:hint="eastAsia" w:ascii="仿宋_GB2312" w:eastAsia="仿宋_GB2312" w:hAnsiTheme="minorEastAsia"/>
                <w:color w:val="000000"/>
                <w:sz w:val="18"/>
                <w:szCs w:val="18"/>
              </w:rPr>
              <w:t>该课程紧密围绕学习贯彻习近平新时代中国特色社会主义思想，重点讲授党的理论创新最新成果、新时代坚持和发展中国特色社会主义的生动实践、全面从严治党形势与政策、我国经济社会发展形势与政策、“一国两制、推进祖国统”以及国际形势与政策，中国坚持和平发展道路、推动构建人类命运共同体的新理念新贡献。同时根据形势发展要求和学生特点有针对性地合理设置教学内容。</w:t>
            </w:r>
          </w:p>
        </w:tc>
        <w:tc>
          <w:tcPr>
            <w:tcW w:w="2204" w:type="dxa"/>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严格落实《新时代高校思想政治理论课教学工作基本要求》，以课堂教学为主，网络教学为辅，中班、小班授课，创新备课形式，综合运用多种教学方法手段，理论学习和实践体验相结合，增加课堂讨论环节，发挥学生主体作用，引导学生主动学习，关注时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 w:type="dxa"/>
            <w:vAlign w:val="center"/>
          </w:tcPr>
          <w:p>
            <w:pPr>
              <w:rPr>
                <w:rFonts w:hint="eastAsia" w:ascii="仿宋_GB2312" w:hAnsi="宋体" w:eastAsia="仿宋_GB2312"/>
                <w:sz w:val="18"/>
                <w:szCs w:val="18"/>
              </w:rPr>
            </w:pPr>
            <w:r>
              <w:rPr>
                <w:rFonts w:hint="eastAsia" w:ascii="仿宋_GB2312" w:hAnsi="等线" w:eastAsia="仿宋_GB2312"/>
                <w:sz w:val="18"/>
                <w:szCs w:val="18"/>
              </w:rPr>
              <w:t>A031104</w:t>
            </w:r>
          </w:p>
        </w:tc>
        <w:tc>
          <w:tcPr>
            <w:tcW w:w="742" w:type="dxa"/>
            <w:vMerge w:val="continue"/>
            <w:vAlign w:val="center"/>
          </w:tcPr>
          <w:p>
            <w:pPr>
              <w:rPr>
                <w:rFonts w:hint="eastAsia" w:ascii="仿宋_GB2312" w:hAnsi="宋体" w:eastAsia="仿宋_GB2312"/>
                <w:sz w:val="18"/>
                <w:szCs w:val="18"/>
              </w:rPr>
            </w:pPr>
          </w:p>
        </w:tc>
        <w:tc>
          <w:tcPr>
            <w:tcW w:w="851" w:type="dxa"/>
            <w:vAlign w:val="center"/>
          </w:tcPr>
          <w:p>
            <w:pPr>
              <w:rPr>
                <w:rFonts w:hint="eastAsia" w:ascii="仿宋_GB2312" w:eastAsia="仿宋_GB2312" w:cs="宋体" w:hAnsiTheme="minorEastAsia"/>
                <w:color w:val="000000"/>
                <w:sz w:val="18"/>
                <w:szCs w:val="18"/>
              </w:rPr>
            </w:pPr>
            <w:r>
              <w:rPr>
                <w:rFonts w:hint="eastAsia" w:ascii="仿宋_GB2312" w:eastAsia="仿宋_GB2312" w:cs="宋体" w:hAnsiTheme="minorEastAsia"/>
                <w:color w:val="000000"/>
                <w:sz w:val="18"/>
                <w:szCs w:val="18"/>
              </w:rPr>
              <w:t>大学英语</w:t>
            </w:r>
          </w:p>
        </w:tc>
        <w:tc>
          <w:tcPr>
            <w:tcW w:w="2594" w:type="dxa"/>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大学英语是以外语教学理论为指导，以英语语言知识与应用技能、跨文化交际和学习策略为主要内容，并集多种教学模式和教学手段为一体的教学体系。大学英语的教学目标是培养学生的英语综合应用能力，特别是听说能力，使他们在今后学习、工作和社会交往中能用英语有效地进行交际，同时增强其自主学习能力，提高综合文化素养，以适应我国社会发展和国际交流的需要。</w:t>
            </w:r>
          </w:p>
        </w:tc>
        <w:tc>
          <w:tcPr>
            <w:tcW w:w="2651" w:type="dxa"/>
            <w:vAlign w:val="center"/>
          </w:tcPr>
          <w:p>
            <w:pPr>
              <w:tabs>
                <w:tab w:val="left" w:pos="312"/>
              </w:tabs>
              <w:rPr>
                <w:rFonts w:hint="eastAsia" w:ascii="仿宋_GB2312" w:eastAsia="仿宋_GB2312" w:hAnsiTheme="minorEastAsia"/>
                <w:sz w:val="18"/>
                <w:szCs w:val="18"/>
              </w:rPr>
            </w:pPr>
            <w:r>
              <w:rPr>
                <w:rFonts w:hint="eastAsia" w:ascii="仿宋_GB2312" w:eastAsia="仿宋_GB2312" w:hAnsiTheme="minorEastAsia"/>
                <w:sz w:val="18"/>
                <w:szCs w:val="18"/>
              </w:rPr>
              <w:t>(1)语言技能类</w:t>
            </w:r>
          </w:p>
          <w:p>
            <w:pPr>
              <w:tabs>
                <w:tab w:val="left" w:pos="312"/>
              </w:tabs>
              <w:rPr>
                <w:rFonts w:hint="eastAsia" w:ascii="仿宋_GB2312" w:eastAsia="仿宋_GB2312" w:hAnsiTheme="minorEastAsia"/>
                <w:sz w:val="18"/>
                <w:szCs w:val="18"/>
              </w:rPr>
            </w:pPr>
            <w:r>
              <w:rPr>
                <w:rFonts w:hint="eastAsia" w:ascii="仿宋_GB2312" w:eastAsia="仿宋_GB2312" w:hAnsiTheme="minorEastAsia"/>
                <w:sz w:val="18"/>
                <w:szCs w:val="18"/>
              </w:rPr>
              <w:t>(2)语言应用类</w:t>
            </w:r>
          </w:p>
          <w:p>
            <w:pPr>
              <w:rPr>
                <w:rFonts w:hint="eastAsia" w:ascii="仿宋_GB2312" w:eastAsia="仿宋_GB2312" w:hAnsiTheme="minorEastAsia"/>
                <w:sz w:val="18"/>
                <w:szCs w:val="18"/>
              </w:rPr>
            </w:pPr>
            <w:r>
              <w:rPr>
                <w:rFonts w:hint="eastAsia" w:ascii="仿宋_GB2312" w:eastAsia="仿宋_GB2312" w:hAnsiTheme="minorEastAsia"/>
                <w:sz w:val="18"/>
                <w:szCs w:val="18"/>
              </w:rPr>
              <w:t>(3)文化类</w:t>
            </w:r>
          </w:p>
        </w:tc>
        <w:tc>
          <w:tcPr>
            <w:tcW w:w="2204" w:type="dxa"/>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1. 听力理解能力：能听懂日常英语谈话和一般性题材的讲座，能听懂语速较慢的英语广播和电视节目，能掌握其中心大意，抓住要点。</w:t>
            </w:r>
          </w:p>
          <w:p>
            <w:pPr>
              <w:rPr>
                <w:rFonts w:hint="eastAsia" w:ascii="仿宋_GB2312" w:eastAsia="仿宋_GB2312" w:hAnsiTheme="minorEastAsia"/>
                <w:sz w:val="18"/>
                <w:szCs w:val="18"/>
              </w:rPr>
            </w:pPr>
            <w:r>
              <w:rPr>
                <w:rFonts w:hint="eastAsia" w:ascii="仿宋_GB2312" w:eastAsia="仿宋_GB2312" w:hAnsiTheme="minorEastAsia"/>
                <w:sz w:val="18"/>
                <w:szCs w:val="18"/>
              </w:rPr>
              <w:t>2. 口语表达能力：能就日常话题用英语进行交谈，表达比较清楚，语音、语调基本正确。</w:t>
            </w:r>
          </w:p>
          <w:p>
            <w:pPr>
              <w:rPr>
                <w:rFonts w:hint="eastAsia" w:ascii="仿宋_GB2312" w:eastAsia="仿宋_GB2312" w:hAnsiTheme="minorEastAsia"/>
                <w:sz w:val="18"/>
                <w:szCs w:val="18"/>
              </w:rPr>
            </w:pPr>
            <w:r>
              <w:rPr>
                <w:rFonts w:hint="eastAsia" w:ascii="仿宋_GB2312" w:eastAsia="仿宋_GB2312" w:hAnsiTheme="minorEastAsia"/>
                <w:sz w:val="18"/>
                <w:szCs w:val="18"/>
              </w:rPr>
              <w:t>3. 阅读理解能力：能基本读懂一般性题材的英文文章，阅读速度达到每分钟70词。</w:t>
            </w:r>
          </w:p>
          <w:p>
            <w:pPr>
              <w:rPr>
                <w:rFonts w:hint="eastAsia" w:ascii="仿宋_GB2312" w:eastAsia="仿宋_GB2312" w:hAnsiTheme="minorEastAsia"/>
                <w:sz w:val="18"/>
                <w:szCs w:val="18"/>
              </w:rPr>
            </w:pPr>
            <w:r>
              <w:rPr>
                <w:rFonts w:hint="eastAsia" w:ascii="仿宋_GB2312" w:eastAsia="仿宋_GB2312" w:hAnsiTheme="minorEastAsia"/>
                <w:sz w:val="18"/>
                <w:szCs w:val="18"/>
              </w:rPr>
              <w:t>4. 书面表达能力：能完成一般性写作任务，能在半小时内就一般性话题或提纲写出不少于120词的短文，内容基本完整，用词恰当，语意连贯。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 w:type="dxa"/>
            <w:vAlign w:val="center"/>
          </w:tcPr>
          <w:p>
            <w:pPr>
              <w:rPr>
                <w:rFonts w:hint="eastAsia" w:ascii="仿宋_GB2312" w:hAnsi="宋体" w:eastAsia="仿宋_GB2312"/>
                <w:sz w:val="18"/>
                <w:szCs w:val="18"/>
              </w:rPr>
            </w:pPr>
            <w:r>
              <w:rPr>
                <w:rFonts w:hint="eastAsia" w:ascii="仿宋_GB2312" w:hAnsi="等线" w:eastAsia="仿宋_GB2312"/>
                <w:sz w:val="18"/>
                <w:szCs w:val="18"/>
              </w:rPr>
              <w:t>A031105</w:t>
            </w:r>
          </w:p>
        </w:tc>
        <w:tc>
          <w:tcPr>
            <w:tcW w:w="742" w:type="dxa"/>
            <w:vMerge w:val="continue"/>
            <w:vAlign w:val="center"/>
          </w:tcPr>
          <w:p>
            <w:pPr>
              <w:rPr>
                <w:rFonts w:hint="eastAsia" w:ascii="仿宋_GB2312" w:hAnsi="宋体" w:eastAsia="仿宋_GB2312"/>
                <w:sz w:val="18"/>
                <w:szCs w:val="18"/>
              </w:rPr>
            </w:pPr>
          </w:p>
        </w:tc>
        <w:tc>
          <w:tcPr>
            <w:tcW w:w="851" w:type="dxa"/>
            <w:vAlign w:val="center"/>
          </w:tcPr>
          <w:p>
            <w:pPr>
              <w:rPr>
                <w:rFonts w:hint="eastAsia" w:ascii="仿宋_GB2312" w:eastAsia="仿宋_GB2312" w:cs="宋体" w:hAnsiTheme="minorEastAsia"/>
                <w:color w:val="000000"/>
                <w:sz w:val="18"/>
                <w:szCs w:val="18"/>
              </w:rPr>
            </w:pPr>
            <w:r>
              <w:rPr>
                <w:rFonts w:hint="eastAsia" w:ascii="仿宋_GB2312" w:eastAsia="仿宋_GB2312" w:cs="宋体" w:hAnsiTheme="minorEastAsia"/>
                <w:color w:val="000000"/>
                <w:sz w:val="18"/>
                <w:szCs w:val="18"/>
              </w:rPr>
              <w:t>大学语文</w:t>
            </w:r>
          </w:p>
        </w:tc>
        <w:tc>
          <w:tcPr>
            <w:tcW w:w="2594" w:type="dxa"/>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具备基本的语文常识，掌握诗歌、散文、小说、戏剧四大文学体裁特点，了解中国文学发展概况，尤其是课文所涉及的重要作家作品；</w:t>
            </w:r>
          </w:p>
          <w:p>
            <w:pPr>
              <w:rPr>
                <w:rFonts w:hint="eastAsia" w:ascii="仿宋_GB2312" w:eastAsia="仿宋_GB2312" w:hAnsiTheme="minorEastAsia"/>
                <w:sz w:val="18"/>
                <w:szCs w:val="18"/>
              </w:rPr>
            </w:pPr>
            <w:r>
              <w:rPr>
                <w:rFonts w:hint="eastAsia" w:ascii="仿宋_GB2312" w:eastAsia="仿宋_GB2312" w:hAnsiTheme="minorEastAsia"/>
                <w:sz w:val="18"/>
                <w:szCs w:val="18"/>
              </w:rPr>
              <w:t>优化听说读写技能，着重提升人际沟通、应用写作、鉴赏批评、职业适应等能力；具有良好的阅读习惯和较强的母语驾驭能力，能够正确地理解和运用祖国语言文字进行表达和交流。</w:t>
            </w:r>
          </w:p>
        </w:tc>
        <w:tc>
          <w:tcPr>
            <w:tcW w:w="2651" w:type="dxa"/>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（1）文学欣赏</w:t>
            </w:r>
          </w:p>
          <w:p>
            <w:pPr>
              <w:rPr>
                <w:rFonts w:hint="eastAsia" w:ascii="仿宋_GB2312" w:eastAsia="仿宋_GB2312" w:hAnsiTheme="minorEastAsia"/>
                <w:sz w:val="18"/>
                <w:szCs w:val="18"/>
              </w:rPr>
            </w:pPr>
          </w:p>
          <w:p>
            <w:pPr>
              <w:rPr>
                <w:rFonts w:hint="eastAsia" w:ascii="仿宋_GB2312" w:eastAsia="仿宋_GB2312" w:hAnsiTheme="minorEastAsia"/>
                <w:sz w:val="18"/>
                <w:szCs w:val="18"/>
              </w:rPr>
            </w:pPr>
            <w:r>
              <w:rPr>
                <w:rFonts w:hint="eastAsia" w:ascii="仿宋_GB2312" w:eastAsia="仿宋_GB2312" w:hAnsiTheme="minorEastAsia"/>
                <w:sz w:val="18"/>
                <w:szCs w:val="18"/>
              </w:rPr>
              <w:t>（2）语言应用</w:t>
            </w:r>
          </w:p>
          <w:p>
            <w:pPr>
              <w:rPr>
                <w:rFonts w:hint="eastAsia" w:ascii="仿宋_GB2312" w:eastAsia="仿宋_GB2312" w:hAnsiTheme="minorEastAsia"/>
                <w:sz w:val="18"/>
                <w:szCs w:val="18"/>
              </w:rPr>
            </w:pPr>
          </w:p>
          <w:p>
            <w:pPr>
              <w:rPr>
                <w:rFonts w:hint="eastAsia" w:ascii="仿宋_GB2312" w:eastAsia="仿宋_GB2312" w:hAnsiTheme="minorEastAsia"/>
                <w:sz w:val="18"/>
                <w:szCs w:val="18"/>
              </w:rPr>
            </w:pPr>
            <w:r>
              <w:rPr>
                <w:rFonts w:hint="eastAsia" w:ascii="仿宋_GB2312" w:eastAsia="仿宋_GB2312" w:hAnsiTheme="minorEastAsia"/>
                <w:sz w:val="18"/>
                <w:szCs w:val="18"/>
              </w:rPr>
              <w:t>（3）写作能力</w:t>
            </w:r>
          </w:p>
        </w:tc>
        <w:tc>
          <w:tcPr>
            <w:tcW w:w="2204" w:type="dxa"/>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1.注重教学的整体设计。</w:t>
            </w:r>
          </w:p>
          <w:p>
            <w:pPr>
              <w:rPr>
                <w:rFonts w:hint="eastAsia" w:ascii="仿宋_GB2312" w:eastAsia="仿宋_GB2312" w:hAnsiTheme="minorEastAsia"/>
                <w:sz w:val="18"/>
                <w:szCs w:val="18"/>
              </w:rPr>
            </w:pPr>
          </w:p>
          <w:p>
            <w:pPr>
              <w:rPr>
                <w:rFonts w:hint="eastAsia" w:ascii="仿宋_GB2312" w:eastAsia="仿宋_GB2312" w:hAnsiTheme="minorEastAsia"/>
                <w:sz w:val="18"/>
                <w:szCs w:val="18"/>
              </w:rPr>
            </w:pPr>
            <w:r>
              <w:rPr>
                <w:rFonts w:hint="eastAsia" w:ascii="仿宋_GB2312" w:eastAsia="仿宋_GB2312" w:hAnsiTheme="minorEastAsia"/>
                <w:sz w:val="18"/>
                <w:szCs w:val="18"/>
              </w:rPr>
              <w:t>2. 提倡学生的自主学习。发挥学生主体意识，积极倡导自主、合作、探究的学习方式。</w:t>
            </w:r>
          </w:p>
          <w:p>
            <w:pPr>
              <w:rPr>
                <w:rFonts w:hint="eastAsia" w:ascii="仿宋_GB2312" w:eastAsia="仿宋_GB2312" w:hAnsiTheme="minorEastAsia"/>
                <w:sz w:val="18"/>
                <w:szCs w:val="18"/>
              </w:rPr>
            </w:pPr>
          </w:p>
          <w:p>
            <w:pPr>
              <w:rPr>
                <w:rFonts w:hint="eastAsia" w:ascii="仿宋_GB2312" w:eastAsia="仿宋_GB2312" w:hAnsiTheme="minorEastAsia"/>
                <w:sz w:val="18"/>
                <w:szCs w:val="18"/>
              </w:rPr>
            </w:pPr>
            <w:r>
              <w:rPr>
                <w:rFonts w:hint="eastAsia" w:ascii="仿宋_GB2312" w:eastAsia="仿宋_GB2312" w:hAnsiTheme="minorEastAsia"/>
                <w:sz w:val="18"/>
                <w:szCs w:val="18"/>
              </w:rPr>
              <w:t>3.强化课程的应用实践。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 w:type="dxa"/>
            <w:vAlign w:val="center"/>
          </w:tcPr>
          <w:p>
            <w:pPr>
              <w:rPr>
                <w:rFonts w:hint="eastAsia" w:ascii="仿宋_GB2312" w:hAnsi="宋体" w:eastAsia="仿宋_GB2312"/>
                <w:sz w:val="18"/>
                <w:szCs w:val="18"/>
              </w:rPr>
            </w:pPr>
            <w:r>
              <w:rPr>
                <w:rFonts w:hint="eastAsia" w:ascii="仿宋_GB2312" w:hAnsi="等线" w:eastAsia="仿宋_GB2312"/>
                <w:sz w:val="18"/>
                <w:szCs w:val="18"/>
              </w:rPr>
              <w:t>A031106</w:t>
            </w:r>
          </w:p>
        </w:tc>
        <w:tc>
          <w:tcPr>
            <w:tcW w:w="742" w:type="dxa"/>
            <w:vMerge w:val="continue"/>
            <w:vAlign w:val="center"/>
          </w:tcPr>
          <w:p>
            <w:pPr>
              <w:rPr>
                <w:rFonts w:hint="eastAsia" w:ascii="仿宋_GB2312" w:hAnsi="宋体" w:eastAsia="仿宋_GB2312"/>
                <w:sz w:val="18"/>
                <w:szCs w:val="18"/>
              </w:rPr>
            </w:pPr>
          </w:p>
        </w:tc>
        <w:tc>
          <w:tcPr>
            <w:tcW w:w="851" w:type="dxa"/>
            <w:vAlign w:val="center"/>
          </w:tcPr>
          <w:p>
            <w:pPr>
              <w:rPr>
                <w:rFonts w:hint="eastAsia" w:ascii="仿宋_GB2312" w:eastAsia="仿宋_GB2312" w:cs="宋体" w:hAnsiTheme="minorEastAsia"/>
                <w:color w:val="000000"/>
                <w:sz w:val="18"/>
                <w:szCs w:val="18"/>
              </w:rPr>
            </w:pPr>
            <w:r>
              <w:rPr>
                <w:rFonts w:hint="eastAsia" w:ascii="仿宋_GB2312" w:eastAsia="仿宋_GB2312" w:cs="宋体" w:hAnsiTheme="minorEastAsia"/>
                <w:color w:val="000000"/>
                <w:sz w:val="18"/>
                <w:szCs w:val="18"/>
              </w:rPr>
              <w:t>军事理论</w:t>
            </w:r>
          </w:p>
        </w:tc>
        <w:tc>
          <w:tcPr>
            <w:tcW w:w="2594" w:type="dxa"/>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让学生了解掌握军事基础知识和基本军事技能，增强国防观念、国家安全意识和忧患危机意识，弘扬爱国主义精神、传承红色基因、提高学生综合国防素质</w:t>
            </w:r>
          </w:p>
        </w:tc>
        <w:tc>
          <w:tcPr>
            <w:tcW w:w="2651" w:type="dxa"/>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（1）中国国防</w:t>
            </w:r>
          </w:p>
          <w:p>
            <w:pPr>
              <w:rPr>
                <w:rFonts w:hint="eastAsia" w:ascii="仿宋_GB2312" w:eastAsia="仿宋_GB2312" w:hAnsiTheme="minorEastAsia"/>
                <w:sz w:val="18"/>
                <w:szCs w:val="18"/>
              </w:rPr>
            </w:pPr>
            <w:r>
              <w:rPr>
                <w:rFonts w:hint="eastAsia" w:ascii="仿宋_GB2312" w:eastAsia="仿宋_GB2312" w:hAnsiTheme="minorEastAsia"/>
                <w:sz w:val="18"/>
                <w:szCs w:val="18"/>
              </w:rPr>
              <w:t>（2）国家安全</w:t>
            </w:r>
          </w:p>
          <w:p>
            <w:pPr>
              <w:rPr>
                <w:rFonts w:hint="eastAsia" w:ascii="仿宋_GB2312" w:eastAsia="仿宋_GB2312" w:hAnsiTheme="minorEastAsia"/>
                <w:sz w:val="18"/>
                <w:szCs w:val="18"/>
              </w:rPr>
            </w:pPr>
            <w:r>
              <w:rPr>
                <w:rFonts w:hint="eastAsia" w:ascii="仿宋_GB2312" w:eastAsia="仿宋_GB2312" w:hAnsiTheme="minorEastAsia"/>
                <w:sz w:val="18"/>
                <w:szCs w:val="18"/>
              </w:rPr>
              <w:t>（3）军事思想</w:t>
            </w:r>
          </w:p>
          <w:p>
            <w:pPr>
              <w:rPr>
                <w:rFonts w:hint="eastAsia" w:ascii="仿宋_GB2312" w:eastAsia="仿宋_GB2312" w:hAnsiTheme="minorEastAsia"/>
                <w:sz w:val="18"/>
                <w:szCs w:val="18"/>
              </w:rPr>
            </w:pPr>
            <w:r>
              <w:rPr>
                <w:rFonts w:hint="eastAsia" w:ascii="仿宋_GB2312" w:eastAsia="仿宋_GB2312" w:hAnsiTheme="minorEastAsia"/>
                <w:sz w:val="18"/>
                <w:szCs w:val="18"/>
              </w:rPr>
              <w:t>（4）现代战争</w:t>
            </w:r>
          </w:p>
          <w:p>
            <w:pPr>
              <w:rPr>
                <w:rFonts w:hint="eastAsia" w:ascii="仿宋_GB2312" w:eastAsia="仿宋_GB2312" w:hAnsiTheme="minorEastAsia"/>
                <w:sz w:val="18"/>
                <w:szCs w:val="18"/>
              </w:rPr>
            </w:pPr>
            <w:r>
              <w:rPr>
                <w:rFonts w:hint="eastAsia" w:ascii="仿宋_GB2312" w:eastAsia="仿宋_GB2312" w:hAnsiTheme="minorEastAsia"/>
                <w:sz w:val="18"/>
                <w:szCs w:val="18"/>
              </w:rPr>
              <w:t>（5）信息化装备</w:t>
            </w:r>
          </w:p>
        </w:tc>
        <w:tc>
          <w:tcPr>
            <w:tcW w:w="2204" w:type="dxa"/>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 w:type="dxa"/>
            <w:vAlign w:val="center"/>
          </w:tcPr>
          <w:p>
            <w:pPr>
              <w:rPr>
                <w:rFonts w:hint="eastAsia" w:ascii="仿宋_GB2312" w:hAnsi="宋体" w:eastAsia="仿宋_GB2312"/>
                <w:sz w:val="18"/>
                <w:szCs w:val="18"/>
              </w:rPr>
            </w:pPr>
            <w:r>
              <w:rPr>
                <w:rFonts w:hint="eastAsia" w:ascii="仿宋_GB2312" w:hAnsi="等线" w:eastAsia="仿宋_GB2312"/>
                <w:sz w:val="18"/>
                <w:szCs w:val="18"/>
              </w:rPr>
              <w:t>A031107</w:t>
            </w:r>
          </w:p>
        </w:tc>
        <w:tc>
          <w:tcPr>
            <w:tcW w:w="742" w:type="dxa"/>
            <w:vMerge w:val="continue"/>
            <w:vAlign w:val="center"/>
          </w:tcPr>
          <w:p>
            <w:pPr>
              <w:rPr>
                <w:rFonts w:hint="eastAsia" w:ascii="仿宋_GB2312" w:hAnsi="宋体" w:eastAsia="仿宋_GB2312"/>
                <w:sz w:val="18"/>
                <w:szCs w:val="18"/>
              </w:rPr>
            </w:pPr>
          </w:p>
        </w:tc>
        <w:tc>
          <w:tcPr>
            <w:tcW w:w="851" w:type="dxa"/>
            <w:vAlign w:val="center"/>
          </w:tcPr>
          <w:p>
            <w:pPr>
              <w:rPr>
                <w:rFonts w:hint="eastAsia" w:ascii="仿宋_GB2312" w:eastAsia="仿宋_GB2312" w:cs="宋体" w:hAnsiTheme="minorEastAsia"/>
                <w:color w:val="000000"/>
                <w:sz w:val="18"/>
                <w:szCs w:val="18"/>
              </w:rPr>
            </w:pPr>
            <w:r>
              <w:rPr>
                <w:rFonts w:hint="eastAsia" w:ascii="仿宋_GB2312" w:eastAsia="仿宋_GB2312" w:cs="宋体" w:hAnsiTheme="minorEastAsia"/>
                <w:color w:val="000000"/>
                <w:sz w:val="18"/>
                <w:szCs w:val="18"/>
              </w:rPr>
              <w:t>计算机基础知识</w:t>
            </w:r>
          </w:p>
        </w:tc>
        <w:tc>
          <w:tcPr>
            <w:tcW w:w="2594" w:type="dxa"/>
            <w:vAlign w:val="center"/>
          </w:tcPr>
          <w:p>
            <w:pPr>
              <w:widowControl/>
              <w:rPr>
                <w:rFonts w:hint="eastAsia" w:ascii="仿宋_GB2312" w:eastAsia="仿宋_GB2312" w:cs="宋体" w:hAnsiTheme="minorEastAsia"/>
                <w:kern w:val="0"/>
                <w:sz w:val="18"/>
                <w:szCs w:val="18"/>
              </w:rPr>
            </w:pPr>
            <w:r>
              <w:rPr>
                <w:rFonts w:hint="eastAsia" w:ascii="仿宋_GB2312" w:eastAsia="仿宋_GB2312" w:cs="宋体" w:hAnsiTheme="minorEastAsia"/>
                <w:kern w:val="0"/>
                <w:sz w:val="18"/>
                <w:szCs w:val="18"/>
              </w:rPr>
              <w:t>《计算机应用基础》是高职高专院校所有专业学生的一门必修课，通过该门课程激发和培养学生使用计算机解决实际问题的能力，培养学生自主学习的能力和团队协作精神；培养学生的创新精神，拓展视野，形成健康的人生观，为他们的终身学习和发展打下良好的基础，该门课程可为各专业的信息化应用提供必要的支撑。</w:t>
            </w:r>
          </w:p>
          <w:p>
            <w:pPr>
              <w:rPr>
                <w:rFonts w:hint="eastAsia" w:ascii="仿宋_GB2312" w:eastAsia="仿宋_GB2312" w:hAnsiTheme="minorEastAsia"/>
                <w:sz w:val="18"/>
                <w:szCs w:val="18"/>
              </w:rPr>
            </w:pPr>
          </w:p>
        </w:tc>
        <w:tc>
          <w:tcPr>
            <w:tcW w:w="2651" w:type="dxa"/>
            <w:vAlign w:val="center"/>
          </w:tcPr>
          <w:p>
            <w:pPr>
              <w:rPr>
                <w:rFonts w:hint="eastAsia" w:ascii="仿宋_GB2312" w:eastAsia="仿宋_GB2312" w:cs="宋体" w:hAnsiTheme="minorEastAsia"/>
                <w:kern w:val="0"/>
                <w:sz w:val="18"/>
                <w:szCs w:val="18"/>
              </w:rPr>
            </w:pPr>
            <w:r>
              <w:rPr>
                <w:rFonts w:hint="eastAsia" w:ascii="仿宋_GB2312" w:eastAsia="仿宋_GB2312" w:cs="宋体" w:hAnsiTheme="minorEastAsia"/>
                <w:kern w:val="0"/>
                <w:sz w:val="18"/>
                <w:szCs w:val="18"/>
              </w:rPr>
              <w:t>（1）掌握计算机的初步知识；</w:t>
            </w:r>
          </w:p>
          <w:p>
            <w:pPr>
              <w:rPr>
                <w:rFonts w:hint="eastAsia" w:ascii="仿宋_GB2312" w:eastAsia="仿宋_GB2312" w:cs="宋体" w:hAnsiTheme="minorEastAsia"/>
                <w:kern w:val="0"/>
                <w:sz w:val="18"/>
                <w:szCs w:val="18"/>
              </w:rPr>
            </w:pPr>
            <w:r>
              <w:rPr>
                <w:rFonts w:hint="eastAsia" w:ascii="仿宋_GB2312" w:eastAsia="仿宋_GB2312" w:cs="宋体" w:hAnsiTheme="minorEastAsia"/>
                <w:kern w:val="0"/>
                <w:sz w:val="18"/>
                <w:szCs w:val="18"/>
              </w:rPr>
              <w:t>（2）了解计算机系统的基本组成和工作原理；</w:t>
            </w:r>
          </w:p>
          <w:p>
            <w:pPr>
              <w:rPr>
                <w:rFonts w:hint="eastAsia" w:ascii="仿宋_GB2312" w:eastAsia="仿宋_GB2312" w:cs="宋体" w:hAnsiTheme="minorEastAsia"/>
                <w:kern w:val="0"/>
                <w:sz w:val="18"/>
                <w:szCs w:val="18"/>
              </w:rPr>
            </w:pPr>
            <w:r>
              <w:rPr>
                <w:rFonts w:hint="eastAsia" w:ascii="仿宋_GB2312" w:eastAsia="仿宋_GB2312" w:cs="宋体" w:hAnsiTheme="minorEastAsia"/>
                <w:kern w:val="0"/>
                <w:sz w:val="18"/>
                <w:szCs w:val="18"/>
              </w:rPr>
              <w:t>（3）了解操作系统的功能，掌握Windows 7的基本操作，比较熟练地管理计算机系统，掌握一种常用的汉字输入方法；</w:t>
            </w:r>
          </w:p>
          <w:p>
            <w:pPr>
              <w:rPr>
                <w:rFonts w:hint="eastAsia" w:ascii="仿宋_GB2312" w:eastAsia="仿宋_GB2312" w:cs="宋体" w:hAnsiTheme="minorEastAsia"/>
                <w:kern w:val="0"/>
                <w:sz w:val="18"/>
                <w:szCs w:val="18"/>
              </w:rPr>
            </w:pPr>
            <w:r>
              <w:rPr>
                <w:rFonts w:hint="eastAsia" w:ascii="仿宋_GB2312" w:eastAsia="仿宋_GB2312" w:cs="宋体" w:hAnsiTheme="minorEastAsia"/>
                <w:kern w:val="0"/>
                <w:sz w:val="18"/>
                <w:szCs w:val="18"/>
              </w:rPr>
              <w:t>（4）掌握实现文字图表混排的实用文字编辑软件Word 2010的应用技能；</w:t>
            </w:r>
          </w:p>
          <w:p>
            <w:pPr>
              <w:rPr>
                <w:rFonts w:hint="eastAsia" w:ascii="仿宋_GB2312" w:eastAsia="仿宋_GB2312" w:cs="宋体" w:hAnsiTheme="minorEastAsia"/>
                <w:kern w:val="0"/>
                <w:sz w:val="18"/>
                <w:szCs w:val="18"/>
              </w:rPr>
            </w:pPr>
            <w:r>
              <w:rPr>
                <w:rFonts w:hint="eastAsia" w:ascii="仿宋_GB2312" w:eastAsia="仿宋_GB2312" w:cs="宋体" w:hAnsiTheme="minorEastAsia"/>
                <w:kern w:val="0"/>
                <w:sz w:val="18"/>
                <w:szCs w:val="18"/>
              </w:rPr>
              <w:t>（5）掌握使用电子表格处理软件Exce1 2010处理各种报表的基本方法；</w:t>
            </w:r>
          </w:p>
          <w:p>
            <w:pPr>
              <w:rPr>
                <w:rFonts w:hint="eastAsia" w:ascii="仿宋_GB2312" w:eastAsia="仿宋_GB2312" w:cs="宋体" w:hAnsiTheme="minorEastAsia"/>
                <w:kern w:val="0"/>
                <w:sz w:val="18"/>
                <w:szCs w:val="18"/>
              </w:rPr>
            </w:pPr>
            <w:r>
              <w:rPr>
                <w:rFonts w:hint="eastAsia" w:ascii="仿宋_GB2312" w:eastAsia="仿宋_GB2312" w:cs="宋体" w:hAnsiTheme="minorEastAsia"/>
                <w:kern w:val="0"/>
                <w:sz w:val="18"/>
                <w:szCs w:val="18"/>
              </w:rPr>
              <w:t>（6）掌握使用演示文稿创作软件Power point2010制作各种演示文稿；</w:t>
            </w:r>
          </w:p>
          <w:p>
            <w:pPr>
              <w:rPr>
                <w:rFonts w:hint="eastAsia" w:ascii="仿宋_GB2312" w:eastAsia="仿宋_GB2312" w:cs="宋体" w:hAnsiTheme="minorEastAsia"/>
                <w:kern w:val="0"/>
                <w:sz w:val="18"/>
                <w:szCs w:val="18"/>
              </w:rPr>
            </w:pPr>
            <w:r>
              <w:rPr>
                <w:rFonts w:hint="eastAsia" w:ascii="仿宋_GB2312" w:eastAsia="仿宋_GB2312" w:cs="宋体" w:hAnsiTheme="minorEastAsia"/>
                <w:kern w:val="0"/>
                <w:sz w:val="18"/>
                <w:szCs w:val="18"/>
              </w:rPr>
              <w:t>（7）了解计算机网络的基础知识及操作；</w:t>
            </w:r>
          </w:p>
          <w:p>
            <w:pPr>
              <w:rPr>
                <w:rFonts w:hint="eastAsia" w:ascii="仿宋_GB2312" w:eastAsia="仿宋_GB2312" w:hAnsiTheme="minorEastAsia"/>
                <w:sz w:val="18"/>
                <w:szCs w:val="18"/>
              </w:rPr>
            </w:pPr>
            <w:r>
              <w:rPr>
                <w:rFonts w:hint="eastAsia" w:ascii="仿宋_GB2312" w:eastAsia="仿宋_GB2312" w:cs="宋体" w:hAnsiTheme="minorEastAsia"/>
                <w:kern w:val="0"/>
                <w:sz w:val="18"/>
                <w:szCs w:val="18"/>
              </w:rPr>
              <w:t>（8）掌握计算机病毒的防治知识。</w:t>
            </w:r>
          </w:p>
        </w:tc>
        <w:tc>
          <w:tcPr>
            <w:tcW w:w="2204" w:type="dxa"/>
            <w:vAlign w:val="center"/>
          </w:tcPr>
          <w:p>
            <w:pPr>
              <w:rPr>
                <w:rFonts w:hint="eastAsia" w:ascii="仿宋_GB2312" w:eastAsia="仿宋_GB2312" w:hAnsiTheme="minorEastAsia"/>
                <w:sz w:val="18"/>
                <w:szCs w:val="18"/>
              </w:rPr>
            </w:pPr>
            <w:r>
              <w:rPr>
                <w:rFonts w:hint="eastAsia" w:ascii="仿宋_GB2312" w:eastAsia="仿宋_GB2312" w:cs="宋体" w:hAnsiTheme="minorEastAsia"/>
                <w:kern w:val="0"/>
                <w:sz w:val="18"/>
                <w:szCs w:val="18"/>
              </w:rPr>
              <w:t>严格落实教育部高等学校计算机科学与技术教学指导委员会《关于进一步加强高等学校计算机基础教学的意见暨计算机基础课程教学基本要求》及教育部高等学校计算机基础课程教学指导委员会提出的以“培养学生计算机应用能力和计算思维能力”作为计算机基础课程培养目标，重点培养学生计算机应用能力的要求。以多媒体机房教学为主，网络教学为辅，小班授课，综合运用多种教学方法手段，理论学习和实践操练相结合，注重实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 w:type="dxa"/>
            <w:vAlign w:val="center"/>
          </w:tcPr>
          <w:p>
            <w:pPr>
              <w:rPr>
                <w:rFonts w:hint="eastAsia" w:ascii="仿宋_GB2312" w:hAnsi="宋体" w:eastAsia="仿宋_GB2312"/>
                <w:sz w:val="18"/>
                <w:szCs w:val="18"/>
              </w:rPr>
            </w:pPr>
            <w:r>
              <w:rPr>
                <w:rFonts w:hint="eastAsia" w:ascii="仿宋_GB2312" w:hAnsi="等线" w:eastAsia="仿宋_GB2312"/>
                <w:sz w:val="18"/>
                <w:szCs w:val="18"/>
              </w:rPr>
              <w:t>A031108</w:t>
            </w:r>
          </w:p>
        </w:tc>
        <w:tc>
          <w:tcPr>
            <w:tcW w:w="742" w:type="dxa"/>
            <w:vMerge w:val="continue"/>
            <w:vAlign w:val="center"/>
          </w:tcPr>
          <w:p>
            <w:pPr>
              <w:rPr>
                <w:rFonts w:hint="eastAsia" w:ascii="仿宋_GB2312" w:hAnsi="宋体" w:eastAsia="仿宋_GB2312"/>
                <w:sz w:val="18"/>
                <w:szCs w:val="18"/>
              </w:rPr>
            </w:pPr>
          </w:p>
        </w:tc>
        <w:tc>
          <w:tcPr>
            <w:tcW w:w="851" w:type="dxa"/>
            <w:vAlign w:val="center"/>
          </w:tcPr>
          <w:p>
            <w:pPr>
              <w:rPr>
                <w:rFonts w:hint="eastAsia" w:ascii="仿宋_GB2312" w:eastAsia="仿宋_GB2312" w:cs="宋体" w:hAnsiTheme="minorEastAsia"/>
                <w:sz w:val="18"/>
                <w:szCs w:val="18"/>
              </w:rPr>
            </w:pPr>
            <w:r>
              <w:rPr>
                <w:rFonts w:hint="eastAsia" w:ascii="仿宋_GB2312" w:eastAsia="仿宋_GB2312" w:cs="宋体" w:hAnsiTheme="minorEastAsia"/>
                <w:color w:val="000000"/>
                <w:sz w:val="18"/>
                <w:szCs w:val="18"/>
              </w:rPr>
              <w:t>大学生心理健康教育</w:t>
            </w:r>
          </w:p>
        </w:tc>
        <w:tc>
          <w:tcPr>
            <w:tcW w:w="2594" w:type="dxa"/>
            <w:vAlign w:val="center"/>
          </w:tcPr>
          <w:p>
            <w:pPr>
              <w:autoSpaceDN w:val="0"/>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了解心理健康的标准及意义，培养自我认知能力、人际沟通能力、自我调节能力，切实提高心理素质，增强自我心理保健意识和心理危机预防意识，促进学生全面发展</w:t>
            </w:r>
          </w:p>
        </w:tc>
        <w:tc>
          <w:tcPr>
            <w:tcW w:w="2651" w:type="dxa"/>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以帮助学生树立心理健康意识、优化心理品质、增强心理调适能力和社会生活的适应能力为取向；针对大学生心理健康展开主题教育，引导学生处理好环境适应、自我管理、人际交往、交友恋爱、情绪调节、人格发展和求职择业等方面的问题和困惑，提高心理健康水平</w:t>
            </w:r>
          </w:p>
        </w:tc>
        <w:tc>
          <w:tcPr>
            <w:tcW w:w="2204" w:type="dxa"/>
            <w:vAlign w:val="center"/>
          </w:tcPr>
          <w:p>
            <w:pPr>
              <w:autoSpaceDN w:val="0"/>
              <w:rPr>
                <w:rFonts w:hint="eastAsia" w:ascii="仿宋_GB2312" w:eastAsia="仿宋_GB2312" w:hAnsiTheme="minorEastAsia"/>
                <w:sz w:val="18"/>
                <w:szCs w:val="18"/>
              </w:rPr>
            </w:pPr>
            <w:r>
              <w:rPr>
                <w:rFonts w:hint="eastAsia" w:ascii="仿宋_GB2312" w:eastAsia="仿宋_GB2312" w:hAnsiTheme="minorEastAsia"/>
                <w:color w:val="000000"/>
                <w:sz w:val="18"/>
                <w:szCs w:val="18"/>
              </w:rPr>
              <w:t>以教学内容为基础，适当结合教育实践和日常生活中的热点问题，丰富和加深教学内容；贯彻启发式教学思想，积极组织课堂讨论，使用多媒体教学手段，从而提高教学效率和质量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 w:type="dxa"/>
            <w:vAlign w:val="center"/>
          </w:tcPr>
          <w:p>
            <w:pPr>
              <w:rPr>
                <w:rFonts w:hint="eastAsia" w:ascii="仿宋_GB2312" w:hAnsi="宋体" w:eastAsia="仿宋_GB2312"/>
                <w:sz w:val="18"/>
                <w:szCs w:val="18"/>
              </w:rPr>
            </w:pPr>
            <w:r>
              <w:rPr>
                <w:rFonts w:hint="eastAsia" w:ascii="仿宋_GB2312" w:hAnsi="等线" w:eastAsia="仿宋_GB2312"/>
                <w:sz w:val="18"/>
                <w:szCs w:val="18"/>
              </w:rPr>
              <w:t>A031109</w:t>
            </w:r>
          </w:p>
        </w:tc>
        <w:tc>
          <w:tcPr>
            <w:tcW w:w="742" w:type="dxa"/>
            <w:vMerge w:val="continue"/>
            <w:vAlign w:val="center"/>
          </w:tcPr>
          <w:p>
            <w:pPr>
              <w:rPr>
                <w:rFonts w:hint="eastAsia" w:ascii="仿宋_GB2312" w:hAnsi="宋体" w:eastAsia="仿宋_GB2312"/>
                <w:sz w:val="18"/>
                <w:szCs w:val="18"/>
              </w:rPr>
            </w:pPr>
          </w:p>
        </w:tc>
        <w:tc>
          <w:tcPr>
            <w:tcW w:w="851" w:type="dxa"/>
            <w:vAlign w:val="center"/>
          </w:tcPr>
          <w:p>
            <w:pPr>
              <w:rPr>
                <w:rFonts w:hint="eastAsia" w:ascii="仿宋_GB2312" w:eastAsia="仿宋_GB2312" w:cs="宋体" w:hAnsiTheme="minorEastAsia"/>
                <w:sz w:val="18"/>
                <w:szCs w:val="18"/>
              </w:rPr>
            </w:pPr>
            <w:r>
              <w:rPr>
                <w:rFonts w:hint="eastAsia" w:ascii="仿宋_GB2312" w:eastAsia="仿宋_GB2312" w:cs="宋体" w:hAnsiTheme="minorEastAsia"/>
                <w:color w:val="000000"/>
                <w:sz w:val="18"/>
                <w:szCs w:val="18"/>
              </w:rPr>
              <w:t>大学体育</w:t>
            </w:r>
          </w:p>
        </w:tc>
        <w:tc>
          <w:tcPr>
            <w:tcW w:w="2594" w:type="dxa"/>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在学习体育基本知识，基本技术基础上，培养体育运动的基本能力，锻炼意志品质，提高科学展水平，树立终身体育理念。</w:t>
            </w:r>
          </w:p>
        </w:tc>
        <w:tc>
          <w:tcPr>
            <w:tcW w:w="2651" w:type="dxa"/>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以体育运动项目为主要教学内容，涵盖田径，篮球，排球，足球，武术，健美操，乒羽小球……等项目，附以相关理论知识，全面提升体育运动锻炼能力和教育教学水平。</w:t>
            </w:r>
          </w:p>
        </w:tc>
        <w:tc>
          <w:tcPr>
            <w:tcW w:w="2204" w:type="dxa"/>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全面落实《普通高等学校体育课程教学指导纲要》，以班级课堂教学为主要形式，创新备课方式和教学方法，综运用各种教学手段和资源，采用实践体验为主，理论提升为辅的教育教学模式。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 w:type="dxa"/>
            <w:vAlign w:val="center"/>
          </w:tcPr>
          <w:p>
            <w:pPr>
              <w:rPr>
                <w:rFonts w:hint="eastAsia" w:ascii="仿宋_GB2312" w:hAnsi="宋体" w:eastAsia="仿宋_GB2312"/>
                <w:sz w:val="18"/>
                <w:szCs w:val="18"/>
              </w:rPr>
            </w:pPr>
            <w:r>
              <w:rPr>
                <w:rFonts w:hint="eastAsia" w:ascii="仿宋_GB2312" w:hAnsi="等线" w:eastAsia="仿宋_GB2312"/>
                <w:sz w:val="18"/>
                <w:szCs w:val="18"/>
              </w:rPr>
              <w:t>A031110</w:t>
            </w:r>
          </w:p>
        </w:tc>
        <w:tc>
          <w:tcPr>
            <w:tcW w:w="742" w:type="dxa"/>
            <w:vMerge w:val="continue"/>
            <w:vAlign w:val="center"/>
          </w:tcPr>
          <w:p>
            <w:pPr>
              <w:rPr>
                <w:rFonts w:hint="eastAsia" w:ascii="仿宋_GB2312" w:hAnsi="宋体" w:eastAsia="仿宋_GB2312"/>
                <w:sz w:val="18"/>
                <w:szCs w:val="18"/>
              </w:rPr>
            </w:pPr>
          </w:p>
        </w:tc>
        <w:tc>
          <w:tcPr>
            <w:tcW w:w="851" w:type="dxa"/>
            <w:vAlign w:val="center"/>
          </w:tcPr>
          <w:p>
            <w:pPr>
              <w:rPr>
                <w:rFonts w:hint="eastAsia" w:ascii="仿宋_GB2312" w:eastAsia="仿宋_GB2312" w:cs="宋体" w:hAnsiTheme="minorEastAsia"/>
                <w:sz w:val="18"/>
                <w:szCs w:val="18"/>
              </w:rPr>
            </w:pPr>
            <w:r>
              <w:rPr>
                <w:rFonts w:hint="eastAsia" w:ascii="仿宋_GB2312" w:eastAsia="仿宋_GB2312" w:cs="宋体" w:hAnsiTheme="minorEastAsia"/>
                <w:color w:val="000000"/>
                <w:sz w:val="18"/>
                <w:szCs w:val="18"/>
              </w:rPr>
              <w:t>职业发展规划</w:t>
            </w:r>
          </w:p>
        </w:tc>
        <w:tc>
          <w:tcPr>
            <w:tcW w:w="2594" w:type="dxa"/>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tc>
        <w:tc>
          <w:tcPr>
            <w:tcW w:w="2651" w:type="dxa"/>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依据教育部关于《大学生职业发展与就业指导课程教学要求》以学生职业生涯教育和职业理想教育为主要内容，引导学生树立正确的职业理念和职业理想，学会根据社会需求和自身特点进行职业生涯规划。</w:t>
            </w:r>
          </w:p>
        </w:tc>
        <w:tc>
          <w:tcPr>
            <w:tcW w:w="2204" w:type="dxa"/>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课堂教学为主，适当辅之职业生涯规划活动，如生涯发展调查、模拟演练等形式，唤醒学生职业生涯规划意识，科学进行生涯规划。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trPr>
        <w:tc>
          <w:tcPr>
            <w:tcW w:w="387" w:type="dxa"/>
            <w:vAlign w:val="center"/>
          </w:tcPr>
          <w:p>
            <w:pPr>
              <w:rPr>
                <w:rFonts w:hint="eastAsia" w:ascii="仿宋_GB2312" w:hAnsi="宋体" w:eastAsia="仿宋_GB2312"/>
                <w:sz w:val="18"/>
                <w:szCs w:val="18"/>
              </w:rPr>
            </w:pPr>
            <w:r>
              <w:rPr>
                <w:rFonts w:hint="eastAsia" w:ascii="仿宋_GB2312" w:hAnsi="等线" w:eastAsia="仿宋_GB2312"/>
                <w:sz w:val="18"/>
                <w:szCs w:val="18"/>
              </w:rPr>
              <w:t>A031111</w:t>
            </w:r>
          </w:p>
        </w:tc>
        <w:tc>
          <w:tcPr>
            <w:tcW w:w="742" w:type="dxa"/>
            <w:vMerge w:val="continue"/>
            <w:vAlign w:val="center"/>
          </w:tcPr>
          <w:p>
            <w:pPr>
              <w:rPr>
                <w:rFonts w:hint="eastAsia" w:ascii="仿宋_GB2312" w:hAnsi="宋体" w:eastAsia="仿宋_GB2312"/>
                <w:sz w:val="18"/>
                <w:szCs w:val="18"/>
              </w:rPr>
            </w:pPr>
          </w:p>
        </w:tc>
        <w:tc>
          <w:tcPr>
            <w:tcW w:w="851" w:type="dxa"/>
            <w:vAlign w:val="center"/>
          </w:tcPr>
          <w:p>
            <w:pPr>
              <w:rPr>
                <w:rFonts w:hint="eastAsia" w:ascii="仿宋_GB2312" w:eastAsia="仿宋_GB2312" w:cs="宋体" w:hAnsiTheme="minorEastAsia"/>
                <w:color w:val="000000"/>
                <w:sz w:val="18"/>
                <w:szCs w:val="18"/>
              </w:rPr>
            </w:pPr>
            <w:r>
              <w:rPr>
                <w:rFonts w:hint="eastAsia" w:ascii="仿宋_GB2312" w:eastAsia="仿宋_GB2312" w:cs="宋体" w:hAnsiTheme="minorEastAsia"/>
                <w:color w:val="000000"/>
                <w:sz w:val="18"/>
                <w:szCs w:val="18"/>
              </w:rPr>
              <w:t>就业指导</w:t>
            </w:r>
          </w:p>
        </w:tc>
        <w:tc>
          <w:tcPr>
            <w:tcW w:w="2594" w:type="dxa"/>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为学生提供就业政策、求职技巧、就业信息等方面的指导，帮助各专业学生了解就业形势、就业政策，根据自身的条件、特点、职业目标、职业方向、社会需求等情况，选择适当的职业；对学生进行职业适应、就业权益、劳动法规、创业等教育，帮助学生树立正确的世界观、人生观、价值观，充分发挥自己的才能，实现自己的人生价值和社会价值，促使学生顺利就业、创业。</w:t>
            </w:r>
          </w:p>
        </w:tc>
        <w:tc>
          <w:tcPr>
            <w:tcW w:w="2651" w:type="dxa"/>
            <w:vAlign w:val="center"/>
          </w:tcPr>
          <w:p>
            <w:pPr>
              <w:pStyle w:val="18"/>
              <w:ind w:left="5250"/>
              <w:jc w:val="both"/>
              <w:rPr>
                <w:rFonts w:hint="eastAsia" w:ascii="仿宋_GB2312" w:eastAsia="仿宋_GB2312" w:hAnsiTheme="minorEastAsia"/>
                <w:color w:val="000000"/>
                <w:sz w:val="18"/>
                <w:szCs w:val="18"/>
              </w:rPr>
            </w:pPr>
          </w:p>
          <w:p>
            <w:pPr>
              <w:rPr>
                <w:rFonts w:hint="eastAsia" w:ascii="仿宋_GB2312" w:eastAsia="仿宋_GB2312"/>
                <w:sz w:val="18"/>
                <w:szCs w:val="18"/>
              </w:rPr>
            </w:pPr>
            <w:r>
              <w:rPr>
                <w:rFonts w:hint="eastAsia" w:ascii="仿宋_GB2312" w:eastAsia="仿宋_GB2312" w:hAnsiTheme="minorEastAsia"/>
                <w:color w:val="000000"/>
                <w:sz w:val="18"/>
                <w:szCs w:val="18"/>
              </w:rPr>
              <w:t>依据教育部关于《大学生职业发展与就业指导课程教学要求》，以帮助大学生认识自己，了解职场，合理定位职业目标，帮助大学生了解劳动力市场和国家就业政策，教导他们搜索就业信息，制作求职简历，掌握基本的面试、签约技巧，调适求职心态，初步形成职场适应能力等为主要内容，最终实现帮助大学生顺利走向社会、走向工作岗位。</w:t>
            </w:r>
          </w:p>
        </w:tc>
        <w:tc>
          <w:tcPr>
            <w:tcW w:w="2204" w:type="dxa"/>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以课堂教学为主，个性化就业创业指导为辅，理论和实践课程交替进行的教学模式，集体传授与个性辅导相结合，切实提高学生就业竞争力，为大学生顺利就业、适应社会及树立创业意识提供必要的指导。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 w:type="dxa"/>
            <w:vAlign w:val="center"/>
          </w:tcPr>
          <w:p>
            <w:pPr>
              <w:rPr>
                <w:rFonts w:hint="eastAsia" w:ascii="仿宋_GB2312" w:hAnsi="宋体" w:eastAsia="仿宋_GB2312"/>
                <w:sz w:val="18"/>
                <w:szCs w:val="18"/>
              </w:rPr>
            </w:pPr>
            <w:r>
              <w:rPr>
                <w:rFonts w:hint="eastAsia" w:ascii="仿宋_GB2312" w:hAnsi="等线" w:eastAsia="仿宋_GB2312"/>
                <w:sz w:val="18"/>
                <w:szCs w:val="18"/>
              </w:rPr>
              <w:t>A031112</w:t>
            </w:r>
          </w:p>
        </w:tc>
        <w:tc>
          <w:tcPr>
            <w:tcW w:w="742" w:type="dxa"/>
            <w:vMerge w:val="continue"/>
            <w:vAlign w:val="center"/>
          </w:tcPr>
          <w:p>
            <w:pPr>
              <w:rPr>
                <w:rFonts w:hint="eastAsia" w:ascii="仿宋_GB2312" w:hAnsi="宋体" w:eastAsia="仿宋_GB2312"/>
                <w:sz w:val="18"/>
                <w:szCs w:val="18"/>
              </w:rPr>
            </w:pPr>
          </w:p>
        </w:tc>
        <w:tc>
          <w:tcPr>
            <w:tcW w:w="851" w:type="dxa"/>
            <w:vAlign w:val="center"/>
          </w:tcPr>
          <w:p>
            <w:pPr>
              <w:rPr>
                <w:rFonts w:hint="eastAsia" w:ascii="仿宋_GB2312" w:eastAsia="仿宋_GB2312" w:cs="宋体" w:hAnsiTheme="minorEastAsia"/>
                <w:color w:val="000000"/>
                <w:sz w:val="18"/>
                <w:szCs w:val="18"/>
              </w:rPr>
            </w:pPr>
            <w:r>
              <w:rPr>
                <w:rFonts w:hint="eastAsia" w:ascii="仿宋_GB2312" w:eastAsia="仿宋_GB2312" w:cs="宋体" w:hAnsiTheme="minorEastAsia"/>
                <w:color w:val="000000"/>
                <w:sz w:val="18"/>
                <w:szCs w:val="18"/>
              </w:rPr>
              <w:t>创新创业教育</w:t>
            </w:r>
          </w:p>
        </w:tc>
        <w:tc>
          <w:tcPr>
            <w:tcW w:w="2594" w:type="dxa"/>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使学生掌握开展创新创业活动所需的基本知识，认识创新创业的基本内涵和创业活动的特殊性，辩证认识和分析创业机会、创业项目。同时，使学生具备必要的创新意识和创业能力，树立科学的创新创业观念。自觉遵循创业规律，积极参与创业实践。</w:t>
            </w:r>
          </w:p>
        </w:tc>
        <w:tc>
          <w:tcPr>
            <w:tcW w:w="2651" w:type="dxa"/>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介绍创新与创业方法论；以对各行各业创业者的成功案例剖析为主，尤其是对优秀的创新创业企业案例的剖析。从创新与创业的概念讲起，引出创业意识与创新精神、创业者特质与创业素质研究、市场与创业机会，逐步深入的讲解创业管理、创业计划与资源整合。最后引导学生积极参加 “大学生创新创业训练计划”项目，为学生介绍创新与创业的最新知识。</w:t>
            </w:r>
          </w:p>
        </w:tc>
        <w:tc>
          <w:tcPr>
            <w:tcW w:w="2204" w:type="dxa"/>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本课程采用课堂教学与课外训练相结合的方式，主要采取案例分析、情景模拟、小组讨论、师生互动、角色扮演、社会调查和第二课堂比赛等方法充分调动学生积极性，促进创新创业教学指导。</w:t>
            </w:r>
          </w:p>
        </w:tc>
      </w:tr>
    </w:tbl>
    <w:p>
      <w:pPr>
        <w:rPr>
          <w:rFonts w:ascii="宋体" w:hAnsi="宋体" w:cs="宋体"/>
          <w:b/>
          <w:sz w:val="28"/>
          <w:szCs w:val="28"/>
        </w:rPr>
      </w:pPr>
    </w:p>
    <w:p>
      <w:pPr>
        <w:ind w:firstLine="422" w:firstLineChars="200"/>
        <w:rPr>
          <w:rFonts w:ascii="仿宋_GB2312" w:hAnsi="宋体" w:eastAsia="仿宋_GB2312" w:cs="宋体"/>
          <w:b/>
          <w:szCs w:val="21"/>
        </w:rPr>
      </w:pPr>
      <w:r>
        <w:rPr>
          <w:rFonts w:hint="eastAsia" w:ascii="仿宋_GB2312" w:hAnsi="宋体" w:eastAsia="仿宋_GB2312" w:cs="宋体"/>
          <w:b/>
          <w:szCs w:val="21"/>
        </w:rPr>
        <w:t>（二）专业（技能）课程</w:t>
      </w:r>
    </w:p>
    <w:tbl>
      <w:tblPr>
        <w:tblStyle w:val="21"/>
        <w:tblW w:w="99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708"/>
        <w:gridCol w:w="1418"/>
        <w:gridCol w:w="2551"/>
        <w:gridCol w:w="2410"/>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93" w:type="dxa"/>
            <w:vAlign w:val="center"/>
          </w:tcPr>
          <w:p>
            <w:pPr>
              <w:rPr>
                <w:rFonts w:hint="eastAsia" w:ascii="仿宋_GB2312" w:eastAsia="仿宋_GB2312"/>
                <w:sz w:val="18"/>
                <w:szCs w:val="18"/>
              </w:rPr>
            </w:pPr>
            <w:r>
              <w:rPr>
                <w:rFonts w:hint="eastAsia" w:ascii="仿宋_GB2312" w:hAnsi="宋体" w:eastAsia="仿宋_GB2312" w:cs="宋体"/>
                <w:sz w:val="18"/>
                <w:szCs w:val="18"/>
              </w:rPr>
              <w:t>序号</w:t>
            </w:r>
          </w:p>
        </w:tc>
        <w:tc>
          <w:tcPr>
            <w:tcW w:w="708" w:type="dxa"/>
            <w:vAlign w:val="center"/>
          </w:tcPr>
          <w:p>
            <w:pPr>
              <w:rPr>
                <w:rFonts w:hint="eastAsia" w:ascii="仿宋_GB2312" w:eastAsia="仿宋_GB2312"/>
                <w:sz w:val="18"/>
                <w:szCs w:val="18"/>
              </w:rPr>
            </w:pPr>
            <w:r>
              <w:rPr>
                <w:rFonts w:hint="eastAsia" w:ascii="仿宋_GB2312" w:hAnsi="宋体" w:eastAsia="仿宋_GB2312" w:cs="宋体"/>
                <w:sz w:val="18"/>
                <w:szCs w:val="18"/>
              </w:rPr>
              <w:t>课程模块</w:t>
            </w:r>
          </w:p>
        </w:tc>
        <w:tc>
          <w:tcPr>
            <w:tcW w:w="1418" w:type="dxa"/>
            <w:vAlign w:val="center"/>
          </w:tcPr>
          <w:p>
            <w:pPr>
              <w:rPr>
                <w:rFonts w:hint="eastAsia" w:ascii="仿宋_GB2312" w:eastAsia="仿宋_GB2312"/>
                <w:sz w:val="18"/>
                <w:szCs w:val="18"/>
              </w:rPr>
            </w:pPr>
            <w:r>
              <w:rPr>
                <w:rFonts w:hint="eastAsia" w:ascii="仿宋_GB2312" w:hAnsi="宋体" w:eastAsia="仿宋_GB2312" w:cs="宋体"/>
                <w:sz w:val="18"/>
                <w:szCs w:val="18"/>
              </w:rPr>
              <w:t>课程名称</w:t>
            </w:r>
          </w:p>
        </w:tc>
        <w:tc>
          <w:tcPr>
            <w:tcW w:w="2551" w:type="dxa"/>
            <w:vAlign w:val="center"/>
          </w:tcPr>
          <w:p>
            <w:pPr>
              <w:rPr>
                <w:rFonts w:hint="eastAsia" w:ascii="仿宋_GB2312" w:eastAsia="仿宋_GB2312"/>
                <w:sz w:val="18"/>
                <w:szCs w:val="18"/>
              </w:rPr>
            </w:pPr>
            <w:r>
              <w:rPr>
                <w:rFonts w:hint="eastAsia" w:ascii="仿宋_GB2312" w:hAnsi="宋体" w:eastAsia="仿宋_GB2312" w:cs="宋体"/>
                <w:sz w:val="18"/>
                <w:szCs w:val="18"/>
              </w:rPr>
              <w:t>课程目标</w:t>
            </w:r>
          </w:p>
        </w:tc>
        <w:tc>
          <w:tcPr>
            <w:tcW w:w="2410" w:type="dxa"/>
            <w:vAlign w:val="center"/>
          </w:tcPr>
          <w:p>
            <w:pPr>
              <w:rPr>
                <w:rFonts w:hint="eastAsia" w:ascii="仿宋_GB2312" w:eastAsia="仿宋_GB2312"/>
                <w:sz w:val="18"/>
                <w:szCs w:val="18"/>
              </w:rPr>
            </w:pPr>
            <w:r>
              <w:rPr>
                <w:rFonts w:hint="eastAsia" w:ascii="仿宋_GB2312" w:hAnsi="宋体" w:eastAsia="仿宋_GB2312" w:cs="宋体"/>
                <w:sz w:val="18"/>
                <w:szCs w:val="18"/>
              </w:rPr>
              <w:t>主要内容</w:t>
            </w:r>
          </w:p>
        </w:tc>
        <w:tc>
          <w:tcPr>
            <w:tcW w:w="2292" w:type="dxa"/>
            <w:vAlign w:val="center"/>
          </w:tcPr>
          <w:p>
            <w:pPr>
              <w:rPr>
                <w:rFonts w:hint="eastAsia" w:ascii="仿宋_GB2312" w:eastAsia="仿宋_GB2312"/>
                <w:sz w:val="18"/>
                <w:szCs w:val="18"/>
              </w:rPr>
            </w:pPr>
            <w:r>
              <w:rPr>
                <w:rFonts w:hint="eastAsia" w:ascii="仿宋_GB2312" w:hAnsi="宋体" w:eastAsia="仿宋_GB2312" w:cs="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vAlign w:val="center"/>
          </w:tcPr>
          <w:p>
            <w:pPr>
              <w:rPr>
                <w:rFonts w:hint="eastAsia" w:ascii="仿宋_GB2312" w:hAnsi="宋体" w:eastAsia="仿宋_GB2312" w:cs="宋体"/>
                <w:sz w:val="18"/>
                <w:szCs w:val="18"/>
              </w:rPr>
            </w:pPr>
            <w:r>
              <w:rPr>
                <w:rFonts w:hint="eastAsia" w:ascii="仿宋_GB2312" w:eastAsia="仿宋_GB2312"/>
                <w:sz w:val="18"/>
                <w:szCs w:val="18"/>
              </w:rPr>
              <w:t>D232101　</w:t>
            </w:r>
          </w:p>
        </w:tc>
        <w:tc>
          <w:tcPr>
            <w:tcW w:w="708" w:type="dxa"/>
            <w:vMerge w:val="restart"/>
            <w:vAlign w:val="center"/>
          </w:tcPr>
          <w:p>
            <w:pPr>
              <w:rPr>
                <w:rFonts w:hint="eastAsia" w:ascii="仿宋_GB2312" w:eastAsia="仿宋_GB2312"/>
                <w:sz w:val="18"/>
                <w:szCs w:val="18"/>
              </w:rPr>
            </w:pPr>
            <w:r>
              <w:rPr>
                <w:rFonts w:hint="eastAsia" w:ascii="仿宋_GB2312" w:eastAsia="仿宋_GB2312"/>
                <w:color w:val="000000"/>
                <w:sz w:val="18"/>
                <w:szCs w:val="18"/>
              </w:rPr>
              <w:t>专业基础课(必修)</w:t>
            </w:r>
          </w:p>
          <w:p>
            <w:pPr>
              <w:rPr>
                <w:rFonts w:hint="eastAsia" w:ascii="仿宋_GB2312" w:eastAsia="仿宋_GB2312"/>
                <w:sz w:val="18"/>
                <w:szCs w:val="18"/>
              </w:rPr>
            </w:pPr>
          </w:p>
        </w:tc>
        <w:tc>
          <w:tcPr>
            <w:tcW w:w="1418" w:type="dxa"/>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普通话</w:t>
            </w:r>
          </w:p>
        </w:tc>
        <w:tc>
          <w:tcPr>
            <w:tcW w:w="2551" w:type="dxa"/>
            <w:vAlign w:val="center"/>
          </w:tcPr>
          <w:p>
            <w:pPr>
              <w:rPr>
                <w:rFonts w:hint="eastAsia" w:ascii="仿宋_GB2312" w:hAnsi="宋体" w:eastAsia="仿宋_GB2312" w:cs="宋体"/>
                <w:sz w:val="18"/>
                <w:szCs w:val="18"/>
              </w:rPr>
            </w:pPr>
            <w:r>
              <w:rPr>
                <w:rFonts w:hint="eastAsia" w:ascii="仿宋_GB2312" w:hAnsi="宋体" w:eastAsia="仿宋_GB2312" w:cs="宋体"/>
                <w:sz w:val="18"/>
                <w:szCs w:val="18"/>
              </w:rPr>
              <w:t>掌握普通话的发音技巧，（音节、音调、变调等），区分易错音节；能够运用普通话进行交流，流畅表达</w:t>
            </w:r>
          </w:p>
        </w:tc>
        <w:tc>
          <w:tcPr>
            <w:tcW w:w="2410" w:type="dxa"/>
            <w:vAlign w:val="center"/>
          </w:tcPr>
          <w:p>
            <w:pPr>
              <w:numPr>
                <w:ilvl w:val="0"/>
                <w:numId w:val="2"/>
              </w:numPr>
              <w:rPr>
                <w:rFonts w:hint="eastAsia" w:ascii="仿宋_GB2312" w:hAnsi="宋体" w:eastAsia="仿宋_GB2312" w:cs="宋体"/>
                <w:sz w:val="18"/>
                <w:szCs w:val="18"/>
              </w:rPr>
            </w:pPr>
            <w:r>
              <w:rPr>
                <w:rFonts w:hint="eastAsia" w:ascii="仿宋_GB2312" w:hAnsi="宋体" w:eastAsia="仿宋_GB2312" w:cs="宋体"/>
                <w:sz w:val="18"/>
                <w:szCs w:val="18"/>
              </w:rPr>
              <w:t>普通话水平测试介绍</w:t>
            </w:r>
          </w:p>
          <w:p>
            <w:pPr>
              <w:numPr>
                <w:ilvl w:val="0"/>
                <w:numId w:val="2"/>
              </w:numPr>
              <w:rPr>
                <w:rFonts w:hint="eastAsia" w:ascii="仿宋_GB2312" w:hAnsi="宋体" w:eastAsia="仿宋_GB2312" w:cs="宋体"/>
                <w:sz w:val="18"/>
                <w:szCs w:val="18"/>
              </w:rPr>
            </w:pPr>
            <w:r>
              <w:rPr>
                <w:rFonts w:hint="eastAsia" w:ascii="仿宋_GB2312" w:hAnsi="宋体" w:eastAsia="仿宋_GB2312" w:cs="宋体"/>
                <w:sz w:val="18"/>
                <w:szCs w:val="18"/>
              </w:rPr>
              <w:t>普通话语音知识</w:t>
            </w:r>
          </w:p>
          <w:p>
            <w:pPr>
              <w:numPr>
                <w:ilvl w:val="0"/>
                <w:numId w:val="2"/>
              </w:numPr>
              <w:rPr>
                <w:rFonts w:hint="eastAsia" w:ascii="仿宋_GB2312" w:hAnsi="宋体" w:eastAsia="仿宋_GB2312" w:cs="宋体"/>
                <w:sz w:val="18"/>
                <w:szCs w:val="18"/>
              </w:rPr>
            </w:pPr>
            <w:r>
              <w:rPr>
                <w:rFonts w:hint="eastAsia" w:ascii="仿宋_GB2312" w:hAnsi="宋体" w:eastAsia="仿宋_GB2312" w:cs="宋体"/>
                <w:sz w:val="18"/>
                <w:szCs w:val="18"/>
              </w:rPr>
              <w:t>朗读</w:t>
            </w:r>
          </w:p>
          <w:p>
            <w:pPr>
              <w:numPr>
                <w:ilvl w:val="0"/>
                <w:numId w:val="2"/>
              </w:numPr>
              <w:rPr>
                <w:rFonts w:hint="eastAsia" w:ascii="仿宋_GB2312" w:hAnsi="宋体" w:eastAsia="仿宋_GB2312" w:cs="宋体"/>
                <w:sz w:val="18"/>
                <w:szCs w:val="18"/>
              </w:rPr>
            </w:pPr>
            <w:r>
              <w:rPr>
                <w:rFonts w:hint="eastAsia" w:ascii="仿宋_GB2312" w:hAnsi="宋体" w:eastAsia="仿宋_GB2312" w:cs="宋体"/>
                <w:sz w:val="18"/>
                <w:szCs w:val="18"/>
              </w:rPr>
              <w:t>说话</w:t>
            </w:r>
          </w:p>
        </w:tc>
        <w:tc>
          <w:tcPr>
            <w:tcW w:w="2292" w:type="dxa"/>
            <w:vAlign w:val="center"/>
          </w:tcPr>
          <w:p>
            <w:pPr>
              <w:rPr>
                <w:rFonts w:hint="eastAsia" w:ascii="仿宋_GB2312" w:hAnsi="宋体" w:eastAsia="仿宋_GB2312"/>
                <w:sz w:val="18"/>
                <w:szCs w:val="18"/>
              </w:rPr>
            </w:pPr>
            <w:r>
              <w:rPr>
                <w:rFonts w:hint="eastAsia" w:ascii="仿宋_GB2312" w:hAnsi="宋体" w:eastAsia="仿宋_GB2312"/>
                <w:sz w:val="18"/>
                <w:szCs w:val="18"/>
              </w:rPr>
              <w:t>获得普通话二乙及以上证书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vAlign w:val="center"/>
          </w:tcPr>
          <w:p>
            <w:pPr>
              <w:rPr>
                <w:rFonts w:hint="eastAsia" w:ascii="仿宋_GB2312" w:hAnsi="宋体" w:eastAsia="仿宋_GB2312" w:cs="宋体"/>
                <w:sz w:val="18"/>
                <w:szCs w:val="18"/>
              </w:rPr>
            </w:pPr>
            <w:r>
              <w:rPr>
                <w:rFonts w:hint="eastAsia" w:ascii="仿宋_GB2312" w:eastAsia="仿宋_GB2312"/>
                <w:sz w:val="18"/>
                <w:szCs w:val="18"/>
              </w:rPr>
              <w:t>D232102　</w:t>
            </w:r>
          </w:p>
        </w:tc>
        <w:tc>
          <w:tcPr>
            <w:tcW w:w="708" w:type="dxa"/>
            <w:vMerge w:val="continue"/>
            <w:vAlign w:val="center"/>
          </w:tcPr>
          <w:p>
            <w:pPr>
              <w:rPr>
                <w:rFonts w:hint="eastAsia" w:ascii="仿宋_GB2312" w:eastAsia="仿宋_GB2312"/>
                <w:color w:val="000000"/>
                <w:sz w:val="18"/>
                <w:szCs w:val="18"/>
              </w:rPr>
            </w:pPr>
          </w:p>
        </w:tc>
        <w:tc>
          <w:tcPr>
            <w:tcW w:w="1418" w:type="dxa"/>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教师口语</w:t>
            </w:r>
          </w:p>
        </w:tc>
        <w:tc>
          <w:tcPr>
            <w:tcW w:w="2551" w:type="dxa"/>
            <w:vAlign w:val="center"/>
          </w:tcPr>
          <w:p>
            <w:pPr>
              <w:rPr>
                <w:rFonts w:hint="eastAsia" w:ascii="仿宋_GB2312" w:hAnsi="宋体" w:eastAsia="仿宋_GB2312"/>
                <w:sz w:val="18"/>
                <w:szCs w:val="18"/>
              </w:rPr>
            </w:pPr>
            <w:r>
              <w:rPr>
                <w:rFonts w:hint="eastAsia" w:ascii="仿宋_GB2312" w:hAnsi="宋体" w:eastAsia="仿宋_GB2312"/>
                <w:sz w:val="18"/>
                <w:szCs w:val="18"/>
              </w:rPr>
              <w:t>1.掌握一般口语交际技能。做到听话准，理解快，记得清，有一定的辨析能力；说话清晰、流畅，得体，有一定应变能力，语态自然大方。</w:t>
            </w:r>
          </w:p>
          <w:p>
            <w:pPr>
              <w:rPr>
                <w:rFonts w:hint="eastAsia" w:ascii="仿宋_GB2312" w:hAnsi="宋体" w:eastAsia="仿宋_GB2312"/>
                <w:sz w:val="18"/>
                <w:szCs w:val="18"/>
              </w:rPr>
            </w:pPr>
            <w:r>
              <w:rPr>
                <w:rFonts w:hint="eastAsia" w:ascii="仿宋_GB2312" w:hAnsi="宋体" w:eastAsia="仿宋_GB2312"/>
                <w:sz w:val="18"/>
                <w:szCs w:val="18"/>
              </w:rPr>
              <w:t>2.能用科学、严谨、简明、生动的普通话进行教育教学活动,并能对中小学生和幼儿的口语进行指导，以利于提高全民族的语言素质。</w:t>
            </w:r>
          </w:p>
          <w:p>
            <w:pPr>
              <w:rPr>
                <w:rFonts w:hint="eastAsia" w:ascii="仿宋_GB2312" w:hAnsi="宋体" w:eastAsia="仿宋_GB2312"/>
                <w:sz w:val="18"/>
                <w:szCs w:val="18"/>
              </w:rPr>
            </w:pPr>
            <w:r>
              <w:rPr>
                <w:rFonts w:hint="eastAsia" w:ascii="仿宋_GB2312" w:hAnsi="宋体" w:eastAsia="仿宋_GB2312"/>
                <w:sz w:val="18"/>
                <w:szCs w:val="18"/>
              </w:rPr>
              <w:t>3.能提高分析问题、解决问题的综合能力。</w:t>
            </w:r>
          </w:p>
        </w:tc>
        <w:tc>
          <w:tcPr>
            <w:tcW w:w="2410" w:type="dxa"/>
            <w:vAlign w:val="center"/>
          </w:tcPr>
          <w:p>
            <w:pPr>
              <w:rPr>
                <w:rFonts w:hint="eastAsia" w:ascii="仿宋_GB2312" w:hAnsi="宋体" w:eastAsia="仿宋_GB2312"/>
                <w:sz w:val="18"/>
                <w:szCs w:val="18"/>
              </w:rPr>
            </w:pPr>
            <w:r>
              <w:rPr>
                <w:rFonts w:hint="eastAsia" w:ascii="仿宋_GB2312" w:hAnsi="宋体" w:eastAsia="仿宋_GB2312"/>
                <w:sz w:val="18"/>
                <w:szCs w:val="18"/>
              </w:rPr>
              <w:t>了解口语交际的一般特点，掌握口语表达的基本技巧和基本形式。</w:t>
            </w:r>
          </w:p>
          <w:p>
            <w:pPr>
              <w:rPr>
                <w:rFonts w:hint="eastAsia" w:ascii="仿宋_GB2312" w:hAnsi="宋体" w:eastAsia="仿宋_GB2312"/>
                <w:sz w:val="18"/>
                <w:szCs w:val="18"/>
              </w:rPr>
            </w:pPr>
            <w:r>
              <w:rPr>
                <w:rFonts w:hint="eastAsia" w:ascii="仿宋_GB2312" w:hAnsi="宋体" w:eastAsia="仿宋_GB2312"/>
                <w:sz w:val="18"/>
                <w:szCs w:val="18"/>
              </w:rPr>
              <w:t>了解教师职业口语的特征、作用，初步掌握教育教学口语的运用规律。</w:t>
            </w:r>
          </w:p>
        </w:tc>
        <w:tc>
          <w:tcPr>
            <w:tcW w:w="2292" w:type="dxa"/>
            <w:vAlign w:val="center"/>
          </w:tcPr>
          <w:p>
            <w:pPr>
              <w:rPr>
                <w:rFonts w:hint="eastAsia" w:ascii="仿宋_GB2312" w:hAnsi="宋体" w:eastAsia="仿宋_GB2312"/>
                <w:sz w:val="18"/>
                <w:szCs w:val="18"/>
              </w:rPr>
            </w:pPr>
            <w:r>
              <w:rPr>
                <w:rFonts w:hint="eastAsia" w:ascii="仿宋_GB2312" w:hAnsi="宋体" w:eastAsia="仿宋_GB2312"/>
                <w:sz w:val="18"/>
                <w:szCs w:val="18"/>
              </w:rPr>
              <w:t>1.掌握教师职业口语的规范性，增强训练的自觉性。</w:t>
            </w:r>
          </w:p>
          <w:p>
            <w:pPr>
              <w:rPr>
                <w:rFonts w:hint="eastAsia" w:ascii="仿宋_GB2312" w:hAnsi="宋体" w:eastAsia="仿宋_GB2312"/>
                <w:sz w:val="18"/>
                <w:szCs w:val="18"/>
              </w:rPr>
            </w:pPr>
            <w:r>
              <w:rPr>
                <w:rFonts w:hint="eastAsia" w:ascii="仿宋_GB2312" w:hAnsi="宋体" w:eastAsia="仿宋_GB2312"/>
                <w:sz w:val="18"/>
                <w:szCs w:val="18"/>
              </w:rPr>
              <w:t>2.初步掌握在教育、教学工作中的口语运用的基本技能。</w:t>
            </w:r>
          </w:p>
          <w:p>
            <w:pPr>
              <w:rPr>
                <w:rFonts w:hint="eastAsia" w:ascii="仿宋_GB2312" w:hAnsi="宋体" w:eastAsia="仿宋_GB2312"/>
                <w:sz w:val="18"/>
                <w:szCs w:val="18"/>
              </w:rPr>
            </w:pPr>
            <w:r>
              <w:rPr>
                <w:rFonts w:hint="eastAsia" w:ascii="仿宋_GB2312" w:hAnsi="宋体" w:eastAsia="仿宋_GB2312"/>
                <w:sz w:val="18"/>
                <w:szCs w:val="18"/>
              </w:rPr>
              <w:t>3.教师职业口语要在达到一般口语表达要求的基础上，做到：科学、严谨、简明、生动，具有启发性。</w:t>
            </w:r>
          </w:p>
          <w:p>
            <w:pPr>
              <w:rPr>
                <w:rFonts w:hint="eastAsia" w:ascii="仿宋_GB2312" w:hAnsi="宋体" w:eastAsia="仿宋_GB2312"/>
                <w:sz w:val="18"/>
                <w:szCs w:val="18"/>
              </w:rPr>
            </w:pPr>
            <w:r>
              <w:rPr>
                <w:rFonts w:hint="eastAsia" w:ascii="仿宋_GB2312" w:hAnsi="宋体" w:eastAsia="仿宋_GB2312"/>
                <w:sz w:val="18"/>
                <w:szCs w:val="18"/>
              </w:rPr>
              <w:t>4.有一定的指导中小学生和幼儿口语运用的能力。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93" w:type="dxa"/>
            <w:vAlign w:val="center"/>
          </w:tcPr>
          <w:p>
            <w:pPr>
              <w:rPr>
                <w:rFonts w:hint="eastAsia" w:ascii="仿宋_GB2312" w:hAnsi="宋体" w:eastAsia="仿宋_GB2312" w:cs="宋体"/>
                <w:sz w:val="18"/>
                <w:szCs w:val="18"/>
              </w:rPr>
            </w:pPr>
            <w:r>
              <w:rPr>
                <w:rFonts w:hint="eastAsia" w:ascii="仿宋_GB2312" w:eastAsia="仿宋_GB2312"/>
                <w:sz w:val="18"/>
                <w:szCs w:val="18"/>
              </w:rPr>
              <w:t>D232103　</w:t>
            </w:r>
          </w:p>
        </w:tc>
        <w:tc>
          <w:tcPr>
            <w:tcW w:w="708" w:type="dxa"/>
            <w:vMerge w:val="continue"/>
            <w:vAlign w:val="center"/>
          </w:tcPr>
          <w:p>
            <w:pPr>
              <w:rPr>
                <w:rFonts w:hint="eastAsia" w:ascii="仿宋_GB2312" w:eastAsia="仿宋_GB2312"/>
                <w:sz w:val="18"/>
                <w:szCs w:val="18"/>
              </w:rPr>
            </w:pPr>
          </w:p>
        </w:tc>
        <w:tc>
          <w:tcPr>
            <w:tcW w:w="1418" w:type="dxa"/>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现代教育技术</w:t>
            </w:r>
          </w:p>
        </w:tc>
        <w:tc>
          <w:tcPr>
            <w:tcW w:w="2551" w:type="dxa"/>
            <w:vAlign w:val="center"/>
          </w:tcPr>
          <w:p>
            <w:pPr>
              <w:rPr>
                <w:rFonts w:hint="eastAsia" w:ascii="仿宋_GB2312" w:hAnsi="宋体" w:eastAsia="仿宋_GB2312"/>
                <w:sz w:val="18"/>
                <w:szCs w:val="18"/>
              </w:rPr>
            </w:pPr>
            <w:r>
              <w:rPr>
                <w:rFonts w:hint="eastAsia" w:ascii="仿宋_GB2312" w:hAnsi="宋体" w:eastAsia="仿宋_GB2312"/>
                <w:sz w:val="18"/>
                <w:szCs w:val="18"/>
              </w:rPr>
              <w:t>通过本课程学习，帮助学生结合自身专业特点，科学运用现代教育技术手段，进行知识的整合。</w:t>
            </w:r>
          </w:p>
        </w:tc>
        <w:tc>
          <w:tcPr>
            <w:tcW w:w="2410" w:type="dxa"/>
            <w:vAlign w:val="center"/>
          </w:tcPr>
          <w:p>
            <w:pPr>
              <w:rPr>
                <w:rFonts w:hint="eastAsia" w:ascii="仿宋_GB2312" w:hAnsi="宋体" w:eastAsia="仿宋_GB2312"/>
                <w:sz w:val="18"/>
                <w:szCs w:val="18"/>
              </w:rPr>
            </w:pPr>
            <w:r>
              <w:rPr>
                <w:rFonts w:hint="eastAsia" w:ascii="仿宋_GB2312" w:hAnsi="宋体" w:eastAsia="仿宋_GB2312"/>
                <w:sz w:val="18"/>
                <w:szCs w:val="18"/>
              </w:rPr>
              <w:t>（1）绪论</w:t>
            </w:r>
          </w:p>
          <w:p>
            <w:pPr>
              <w:rPr>
                <w:rFonts w:hint="eastAsia" w:ascii="仿宋_GB2312" w:hAnsi="宋体" w:eastAsia="仿宋_GB2312"/>
                <w:sz w:val="18"/>
                <w:szCs w:val="18"/>
              </w:rPr>
            </w:pPr>
            <w:r>
              <w:rPr>
                <w:rFonts w:hint="eastAsia" w:ascii="仿宋_GB2312" w:hAnsi="宋体" w:eastAsia="仿宋_GB2312"/>
                <w:sz w:val="18"/>
                <w:szCs w:val="18"/>
              </w:rPr>
              <w:t>（2）图形图像媒体及技术</w:t>
            </w:r>
          </w:p>
          <w:p>
            <w:pPr>
              <w:rPr>
                <w:rFonts w:hint="eastAsia" w:ascii="仿宋_GB2312" w:hAnsi="宋体" w:eastAsia="仿宋_GB2312"/>
                <w:sz w:val="18"/>
                <w:szCs w:val="18"/>
              </w:rPr>
            </w:pPr>
            <w:r>
              <w:rPr>
                <w:rFonts w:hint="eastAsia" w:ascii="仿宋_GB2312" w:hAnsi="宋体" w:eastAsia="仿宋_GB2312"/>
                <w:sz w:val="18"/>
                <w:szCs w:val="18"/>
              </w:rPr>
              <w:t>（3）音频媒体及技术</w:t>
            </w:r>
          </w:p>
          <w:p>
            <w:pPr>
              <w:rPr>
                <w:rFonts w:hint="eastAsia" w:ascii="仿宋_GB2312" w:hAnsi="宋体" w:eastAsia="仿宋_GB2312"/>
                <w:sz w:val="18"/>
                <w:szCs w:val="18"/>
              </w:rPr>
            </w:pPr>
            <w:r>
              <w:rPr>
                <w:rFonts w:hint="eastAsia" w:ascii="仿宋_GB2312" w:hAnsi="宋体" w:eastAsia="仿宋_GB2312"/>
                <w:sz w:val="18"/>
                <w:szCs w:val="18"/>
              </w:rPr>
              <w:t>（4）视频媒体及技术</w:t>
            </w:r>
          </w:p>
          <w:p>
            <w:pPr>
              <w:rPr>
                <w:rFonts w:hint="eastAsia" w:ascii="仿宋_GB2312" w:hAnsi="宋体" w:eastAsia="仿宋_GB2312"/>
                <w:sz w:val="18"/>
                <w:szCs w:val="18"/>
              </w:rPr>
            </w:pPr>
            <w:r>
              <w:rPr>
                <w:rFonts w:hint="eastAsia" w:ascii="仿宋_GB2312" w:hAnsi="宋体" w:eastAsia="仿宋_GB2312"/>
                <w:sz w:val="18"/>
                <w:szCs w:val="18"/>
              </w:rPr>
              <w:t>（5）动画媒体及技术</w:t>
            </w:r>
          </w:p>
          <w:p>
            <w:pPr>
              <w:rPr>
                <w:rFonts w:hint="eastAsia" w:ascii="仿宋_GB2312" w:hAnsi="宋体" w:eastAsia="仿宋_GB2312"/>
                <w:sz w:val="18"/>
                <w:szCs w:val="18"/>
              </w:rPr>
            </w:pPr>
            <w:r>
              <w:rPr>
                <w:rFonts w:hint="eastAsia" w:ascii="仿宋_GB2312" w:hAnsi="宋体" w:eastAsia="仿宋_GB2312"/>
                <w:sz w:val="18"/>
                <w:szCs w:val="18"/>
              </w:rPr>
              <w:t>（6）多媒体技术及其教学</w:t>
            </w:r>
          </w:p>
          <w:p>
            <w:pPr>
              <w:rPr>
                <w:rFonts w:hint="eastAsia" w:ascii="仿宋_GB2312" w:hAnsi="宋体" w:eastAsia="仿宋_GB2312"/>
                <w:sz w:val="18"/>
                <w:szCs w:val="18"/>
              </w:rPr>
            </w:pPr>
            <w:r>
              <w:rPr>
                <w:rFonts w:hint="eastAsia" w:ascii="仿宋_GB2312" w:hAnsi="宋体" w:eastAsia="仿宋_GB2312"/>
                <w:sz w:val="18"/>
                <w:szCs w:val="18"/>
              </w:rPr>
              <w:t>（7）基于网络的教学手段和教学模式</w:t>
            </w:r>
          </w:p>
          <w:p>
            <w:pPr>
              <w:rPr>
                <w:rFonts w:hint="eastAsia" w:ascii="仿宋_GB2312" w:hAnsi="宋体" w:eastAsia="仿宋_GB2312"/>
                <w:sz w:val="18"/>
                <w:szCs w:val="18"/>
              </w:rPr>
            </w:pPr>
            <w:r>
              <w:rPr>
                <w:rFonts w:hint="eastAsia" w:ascii="仿宋_GB2312" w:hAnsi="宋体" w:eastAsia="仿宋_GB2312"/>
                <w:sz w:val="18"/>
                <w:szCs w:val="18"/>
              </w:rPr>
              <w:t>（8）网络教育资源的建设与利用</w:t>
            </w:r>
          </w:p>
          <w:p>
            <w:pPr>
              <w:rPr>
                <w:rFonts w:hint="eastAsia" w:ascii="仿宋_GB2312" w:hAnsi="宋体" w:eastAsia="仿宋_GB2312"/>
                <w:sz w:val="18"/>
                <w:szCs w:val="18"/>
              </w:rPr>
            </w:pPr>
            <w:r>
              <w:rPr>
                <w:rFonts w:hint="eastAsia" w:ascii="仿宋_GB2312" w:hAnsi="宋体" w:eastAsia="仿宋_GB2312"/>
                <w:sz w:val="18"/>
                <w:szCs w:val="18"/>
              </w:rPr>
              <w:t>（9）教学设计与评价</w:t>
            </w:r>
          </w:p>
        </w:tc>
        <w:tc>
          <w:tcPr>
            <w:tcW w:w="2292" w:type="dxa"/>
            <w:vAlign w:val="center"/>
          </w:tcPr>
          <w:p>
            <w:pPr>
              <w:rPr>
                <w:rFonts w:hint="eastAsia" w:ascii="仿宋_GB2312" w:hAnsi="宋体" w:eastAsia="仿宋_GB2312"/>
                <w:sz w:val="18"/>
                <w:szCs w:val="18"/>
              </w:rPr>
            </w:pPr>
            <w:r>
              <w:rPr>
                <w:rFonts w:hint="eastAsia" w:ascii="仿宋_GB2312" w:hAnsi="宋体" w:eastAsia="仿宋_GB2312"/>
                <w:sz w:val="18"/>
                <w:szCs w:val="18"/>
              </w:rPr>
              <w:t>通过本课程学习，帮助学生结合自身专业特点，科学运用现代教育技术手段，进行知识的整合。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vAlign w:val="center"/>
          </w:tcPr>
          <w:p>
            <w:pPr>
              <w:rPr>
                <w:rFonts w:hint="eastAsia" w:ascii="仿宋_GB2312" w:hAnsi="宋体" w:eastAsia="仿宋_GB2312" w:cs="宋体"/>
                <w:sz w:val="18"/>
                <w:szCs w:val="18"/>
              </w:rPr>
            </w:pPr>
            <w:r>
              <w:rPr>
                <w:rFonts w:hint="eastAsia" w:ascii="仿宋_GB2312" w:eastAsia="仿宋_GB2312"/>
                <w:sz w:val="18"/>
                <w:szCs w:val="18"/>
              </w:rPr>
              <w:t>D232104　</w:t>
            </w:r>
          </w:p>
        </w:tc>
        <w:tc>
          <w:tcPr>
            <w:tcW w:w="708" w:type="dxa"/>
            <w:vMerge w:val="continue"/>
            <w:vAlign w:val="center"/>
          </w:tcPr>
          <w:p>
            <w:pPr>
              <w:rPr>
                <w:rFonts w:hint="eastAsia" w:ascii="仿宋_GB2312" w:eastAsia="仿宋_GB2312"/>
                <w:sz w:val="18"/>
                <w:szCs w:val="18"/>
              </w:rPr>
            </w:pPr>
          </w:p>
        </w:tc>
        <w:tc>
          <w:tcPr>
            <w:tcW w:w="1418" w:type="dxa"/>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写字</w:t>
            </w:r>
          </w:p>
        </w:tc>
        <w:tc>
          <w:tcPr>
            <w:tcW w:w="2551" w:type="dxa"/>
            <w:vAlign w:val="center"/>
          </w:tcPr>
          <w:p>
            <w:pPr>
              <w:rPr>
                <w:rFonts w:hint="eastAsia" w:ascii="仿宋_GB2312" w:hAnsi="宋体" w:eastAsia="仿宋_GB2312"/>
                <w:sz w:val="18"/>
                <w:szCs w:val="18"/>
              </w:rPr>
            </w:pPr>
            <w:r>
              <w:rPr>
                <w:rFonts w:hint="eastAsia" w:ascii="仿宋_GB2312" w:hAnsi="宋体" w:eastAsia="仿宋_GB2312"/>
                <w:sz w:val="18"/>
                <w:szCs w:val="18"/>
              </w:rPr>
              <w:t>提高学生的人文素质、职业素质和职业能力，掌握实际书写能力，养成良好的书写习惯。</w:t>
            </w:r>
          </w:p>
        </w:tc>
        <w:tc>
          <w:tcPr>
            <w:tcW w:w="2410" w:type="dxa"/>
            <w:vAlign w:val="center"/>
          </w:tcPr>
          <w:p>
            <w:pPr>
              <w:rPr>
                <w:rFonts w:hint="eastAsia" w:ascii="仿宋_GB2312" w:hAnsi="宋体" w:eastAsia="仿宋_GB2312"/>
                <w:sz w:val="18"/>
                <w:szCs w:val="18"/>
              </w:rPr>
            </w:pPr>
            <w:r>
              <w:rPr>
                <w:rFonts w:hint="eastAsia" w:ascii="仿宋_GB2312" w:hAnsi="宋体" w:eastAsia="仿宋_GB2312"/>
                <w:sz w:val="18"/>
                <w:szCs w:val="18"/>
              </w:rPr>
              <w:t>（1）书法概述及学习方法</w:t>
            </w:r>
          </w:p>
          <w:p>
            <w:pPr>
              <w:rPr>
                <w:rFonts w:hint="eastAsia" w:ascii="仿宋_GB2312" w:hAnsi="宋体" w:eastAsia="仿宋_GB2312"/>
                <w:sz w:val="18"/>
                <w:szCs w:val="18"/>
              </w:rPr>
            </w:pPr>
            <w:r>
              <w:rPr>
                <w:rFonts w:hint="eastAsia" w:ascii="仿宋_GB2312" w:hAnsi="宋体" w:eastAsia="仿宋_GB2312"/>
                <w:sz w:val="18"/>
                <w:szCs w:val="18"/>
              </w:rPr>
              <w:t>（2）楷书的运笔法与基本笔画及书写</w:t>
            </w:r>
          </w:p>
          <w:p>
            <w:pPr>
              <w:rPr>
                <w:rFonts w:hint="eastAsia" w:ascii="仿宋_GB2312" w:hAnsi="宋体" w:eastAsia="仿宋_GB2312"/>
                <w:sz w:val="18"/>
                <w:szCs w:val="18"/>
              </w:rPr>
            </w:pPr>
            <w:r>
              <w:rPr>
                <w:rFonts w:hint="eastAsia" w:ascii="仿宋_GB2312" w:hAnsi="宋体" w:eastAsia="仿宋_GB2312"/>
                <w:sz w:val="18"/>
                <w:szCs w:val="18"/>
              </w:rPr>
              <w:t>（3）楷书偏旁部首的写法</w:t>
            </w:r>
          </w:p>
          <w:p>
            <w:pPr>
              <w:rPr>
                <w:rFonts w:hint="eastAsia" w:ascii="仿宋_GB2312" w:hAnsi="宋体" w:eastAsia="仿宋_GB2312"/>
                <w:sz w:val="18"/>
                <w:szCs w:val="18"/>
              </w:rPr>
            </w:pPr>
            <w:r>
              <w:rPr>
                <w:rFonts w:hint="eastAsia" w:ascii="仿宋_GB2312" w:hAnsi="宋体" w:eastAsia="仿宋_GB2312"/>
                <w:sz w:val="18"/>
                <w:szCs w:val="18"/>
              </w:rPr>
              <w:t>（4）楷书的结构法</w:t>
            </w:r>
          </w:p>
          <w:p>
            <w:pPr>
              <w:rPr>
                <w:rFonts w:hint="eastAsia" w:ascii="仿宋_GB2312" w:hAnsi="宋体" w:eastAsia="仿宋_GB2312"/>
                <w:sz w:val="18"/>
                <w:szCs w:val="18"/>
              </w:rPr>
            </w:pPr>
            <w:r>
              <w:rPr>
                <w:rFonts w:hint="eastAsia" w:ascii="仿宋_GB2312" w:hAnsi="宋体" w:eastAsia="仿宋_GB2312"/>
                <w:sz w:val="18"/>
                <w:szCs w:val="18"/>
              </w:rPr>
              <w:t>（5）行书的结构法与书写技巧</w:t>
            </w:r>
          </w:p>
          <w:p>
            <w:pPr>
              <w:rPr>
                <w:rFonts w:hint="eastAsia" w:ascii="仿宋_GB2312" w:hAnsi="宋体" w:eastAsia="仿宋_GB2312"/>
                <w:sz w:val="18"/>
                <w:szCs w:val="18"/>
              </w:rPr>
            </w:pPr>
            <w:r>
              <w:rPr>
                <w:rFonts w:hint="eastAsia" w:ascii="仿宋_GB2312" w:hAnsi="宋体" w:eastAsia="仿宋_GB2312"/>
                <w:sz w:val="18"/>
                <w:szCs w:val="18"/>
              </w:rPr>
              <w:t>（6）行书的基本笔画与偏旁的写法</w:t>
            </w:r>
          </w:p>
          <w:p>
            <w:pPr>
              <w:rPr>
                <w:rFonts w:hint="eastAsia" w:ascii="仿宋_GB2312" w:hAnsi="宋体" w:eastAsia="仿宋_GB2312"/>
                <w:sz w:val="18"/>
                <w:szCs w:val="18"/>
              </w:rPr>
            </w:pPr>
            <w:r>
              <w:rPr>
                <w:rFonts w:hint="eastAsia" w:ascii="仿宋_GB2312" w:hAnsi="宋体" w:eastAsia="仿宋_GB2312"/>
                <w:sz w:val="18"/>
                <w:szCs w:val="18"/>
              </w:rPr>
              <w:t>（7）草书的欣赏和阿拉伯数字的书写方法</w:t>
            </w:r>
          </w:p>
          <w:p>
            <w:pPr>
              <w:rPr>
                <w:rFonts w:hint="eastAsia" w:ascii="仿宋_GB2312" w:hAnsi="宋体" w:eastAsia="仿宋_GB2312"/>
                <w:sz w:val="18"/>
                <w:szCs w:val="18"/>
              </w:rPr>
            </w:pPr>
            <w:r>
              <w:rPr>
                <w:rFonts w:hint="eastAsia" w:ascii="仿宋_GB2312" w:hAnsi="宋体" w:eastAsia="仿宋_GB2312"/>
                <w:sz w:val="18"/>
                <w:szCs w:val="18"/>
              </w:rPr>
              <w:t>（8）书法作品的欣赏和创作常识</w:t>
            </w:r>
          </w:p>
        </w:tc>
        <w:tc>
          <w:tcPr>
            <w:tcW w:w="2292" w:type="dxa"/>
            <w:vAlign w:val="center"/>
          </w:tcPr>
          <w:p>
            <w:pPr>
              <w:rPr>
                <w:rFonts w:hint="eastAsia" w:ascii="仿宋_GB2312" w:hAnsi="宋体" w:eastAsia="仿宋_GB2312"/>
                <w:sz w:val="18"/>
                <w:szCs w:val="18"/>
              </w:rPr>
            </w:pPr>
            <w:r>
              <w:rPr>
                <w:rFonts w:hint="eastAsia" w:ascii="仿宋_GB2312" w:hAnsi="宋体" w:eastAsia="仿宋_GB2312"/>
                <w:sz w:val="18"/>
                <w:szCs w:val="18"/>
              </w:rPr>
              <w:t>以学生为本，坚持理论联系实际，注重培养兴趣，加强实践练习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vAlign w:val="center"/>
          </w:tcPr>
          <w:p>
            <w:pPr>
              <w:rPr>
                <w:rFonts w:hint="eastAsia" w:ascii="仿宋_GB2312" w:hAnsi="宋体" w:eastAsia="仿宋_GB2312" w:cs="宋体"/>
                <w:sz w:val="18"/>
                <w:szCs w:val="18"/>
              </w:rPr>
            </w:pPr>
            <w:r>
              <w:rPr>
                <w:rFonts w:hint="eastAsia" w:ascii="仿宋_GB2312" w:eastAsia="仿宋_GB2312"/>
                <w:sz w:val="18"/>
                <w:szCs w:val="18"/>
              </w:rPr>
              <w:t>D232105　</w:t>
            </w:r>
          </w:p>
        </w:tc>
        <w:tc>
          <w:tcPr>
            <w:tcW w:w="708" w:type="dxa"/>
            <w:vMerge w:val="continue"/>
            <w:vAlign w:val="center"/>
          </w:tcPr>
          <w:p>
            <w:pPr>
              <w:rPr>
                <w:rFonts w:hint="eastAsia" w:ascii="仿宋_GB2312" w:eastAsia="仿宋_GB2312"/>
                <w:color w:val="000000"/>
                <w:sz w:val="18"/>
                <w:szCs w:val="18"/>
              </w:rPr>
            </w:pPr>
          </w:p>
        </w:tc>
        <w:tc>
          <w:tcPr>
            <w:tcW w:w="1418" w:type="dxa"/>
            <w:vAlign w:val="center"/>
          </w:tcPr>
          <w:p>
            <w:pPr>
              <w:rPr>
                <w:rFonts w:hint="eastAsia" w:ascii="仿宋_GB2312" w:hAnsi="宋体" w:eastAsia="仿宋_GB2312"/>
                <w:color w:val="000000"/>
                <w:sz w:val="18"/>
                <w:szCs w:val="18"/>
              </w:rPr>
            </w:pPr>
            <w:r>
              <w:rPr>
                <w:rFonts w:hint="eastAsia" w:ascii="仿宋_GB2312" w:hAnsi="宋体" w:eastAsia="仿宋_GB2312" w:cs="宋体"/>
                <w:color w:val="000000"/>
                <w:sz w:val="18"/>
                <w:szCs w:val="18"/>
              </w:rPr>
              <w:t>心理学</w:t>
            </w:r>
          </w:p>
        </w:tc>
        <w:tc>
          <w:tcPr>
            <w:tcW w:w="2551" w:type="dxa"/>
            <w:vAlign w:val="center"/>
          </w:tcPr>
          <w:p>
            <w:pPr>
              <w:rPr>
                <w:rFonts w:hint="eastAsia" w:ascii="仿宋_GB2312" w:hAnsi="宋体" w:eastAsia="仿宋_GB2312"/>
                <w:color w:val="000000"/>
                <w:sz w:val="18"/>
                <w:szCs w:val="18"/>
              </w:rPr>
            </w:pPr>
            <w:r>
              <w:rPr>
                <w:rFonts w:hint="eastAsia" w:ascii="仿宋_GB2312" w:hAnsi="宋体" w:eastAsia="仿宋_GB2312" w:cs="宋体"/>
                <w:color w:val="000000"/>
                <w:sz w:val="18"/>
                <w:szCs w:val="18"/>
              </w:rPr>
              <w:t>引导学生了解心理学的基本理论以及小学生心理发展的特征和规律以及成长中出现的各种问题，掌握解决小学生心理问题的基本方法和技能，树立正确的学生观、教育观和教师观。</w:t>
            </w:r>
          </w:p>
          <w:p>
            <w:pPr>
              <w:rPr>
                <w:rFonts w:hint="eastAsia" w:ascii="仿宋_GB2312" w:hAnsi="宋体" w:eastAsia="仿宋_GB2312"/>
                <w:color w:val="000000"/>
                <w:sz w:val="18"/>
                <w:szCs w:val="18"/>
              </w:rPr>
            </w:pPr>
          </w:p>
          <w:p>
            <w:pPr>
              <w:rPr>
                <w:rFonts w:hint="eastAsia" w:ascii="仿宋_GB2312" w:hAnsi="宋体" w:eastAsia="仿宋_GB2312"/>
                <w:color w:val="000000"/>
                <w:sz w:val="18"/>
                <w:szCs w:val="18"/>
              </w:rPr>
            </w:pPr>
          </w:p>
        </w:tc>
        <w:tc>
          <w:tcPr>
            <w:tcW w:w="2410" w:type="dxa"/>
            <w:vAlign w:val="center"/>
          </w:tcPr>
          <w:p>
            <w:pPr>
              <w:rPr>
                <w:rFonts w:hint="eastAsia" w:ascii="仿宋_GB2312" w:hAnsi="宋体" w:eastAsia="仿宋_GB2312"/>
                <w:color w:val="000000"/>
                <w:sz w:val="18"/>
                <w:szCs w:val="18"/>
              </w:rPr>
            </w:pPr>
            <w:r>
              <w:rPr>
                <w:rFonts w:hint="eastAsia" w:ascii="仿宋_GB2312" w:hAnsi="宋体" w:eastAsia="仿宋_GB2312" w:cs="宋体"/>
                <w:color w:val="000000"/>
                <w:sz w:val="18"/>
                <w:szCs w:val="18"/>
              </w:rPr>
              <w:t>由心理学的基础知识逐步展开小学生心理过程、品德、人际关系和个性心理方面的内容，引导学生掌握每部分小学生心理发展的特征和规律以及每个阶段面临的发展危机和解决策略。</w:t>
            </w:r>
          </w:p>
          <w:p>
            <w:pPr>
              <w:rPr>
                <w:rFonts w:hint="eastAsia" w:ascii="仿宋_GB2312" w:hAnsi="宋体" w:eastAsia="仿宋_GB2312"/>
                <w:color w:val="000000"/>
                <w:sz w:val="18"/>
                <w:szCs w:val="18"/>
              </w:rPr>
            </w:pPr>
          </w:p>
        </w:tc>
        <w:tc>
          <w:tcPr>
            <w:tcW w:w="2292" w:type="dxa"/>
            <w:vAlign w:val="center"/>
          </w:tcPr>
          <w:p>
            <w:pPr>
              <w:rPr>
                <w:rFonts w:hint="eastAsia" w:ascii="仿宋_GB2312" w:hAnsi="宋体" w:eastAsia="仿宋_GB2312"/>
                <w:color w:val="000000"/>
                <w:sz w:val="18"/>
                <w:szCs w:val="18"/>
              </w:rPr>
            </w:pPr>
            <w:r>
              <w:rPr>
                <w:rFonts w:hint="eastAsia" w:ascii="仿宋_GB2312" w:hAnsi="宋体" w:eastAsia="仿宋_GB2312" w:cs="宋体"/>
                <w:color w:val="000000"/>
                <w:sz w:val="18"/>
                <w:szCs w:val="18"/>
              </w:rPr>
              <w:t>首先，注重理论与实践相结合，在教学内容的安排上，注意做到既有一定的理论高度又有具体的教学案例，力求在理论和实践的结合上有所突破，促进学生对知识的理解；</w:t>
            </w:r>
          </w:p>
          <w:p>
            <w:pPr>
              <w:rPr>
                <w:rFonts w:hint="eastAsia" w:ascii="仿宋_GB2312" w:hAnsi="宋体" w:eastAsia="仿宋_GB2312"/>
                <w:color w:val="000000"/>
                <w:sz w:val="18"/>
                <w:szCs w:val="18"/>
              </w:rPr>
            </w:pPr>
            <w:r>
              <w:rPr>
                <w:rFonts w:hint="eastAsia" w:ascii="仿宋_GB2312" w:hAnsi="宋体" w:eastAsia="仿宋_GB2312" w:cs="宋体"/>
                <w:color w:val="000000"/>
                <w:sz w:val="18"/>
                <w:szCs w:val="18"/>
              </w:rPr>
              <w:t>其次，注重发挥学生的创造性和主动性，让学生在主动学习中掌握知识。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jc w:val="center"/>
        </w:trPr>
        <w:tc>
          <w:tcPr>
            <w:tcW w:w="593" w:type="dxa"/>
            <w:vAlign w:val="center"/>
          </w:tcPr>
          <w:p>
            <w:pPr>
              <w:rPr>
                <w:rFonts w:hint="eastAsia" w:ascii="仿宋_GB2312" w:hAnsi="宋体" w:eastAsia="仿宋_GB2312" w:cs="宋体"/>
                <w:sz w:val="18"/>
                <w:szCs w:val="18"/>
              </w:rPr>
            </w:pPr>
            <w:r>
              <w:rPr>
                <w:rFonts w:hint="eastAsia" w:ascii="仿宋_GB2312" w:eastAsia="仿宋_GB2312"/>
                <w:sz w:val="18"/>
                <w:szCs w:val="18"/>
              </w:rPr>
              <w:t>D232106　</w:t>
            </w:r>
          </w:p>
        </w:tc>
        <w:tc>
          <w:tcPr>
            <w:tcW w:w="708" w:type="dxa"/>
            <w:vMerge w:val="continue"/>
            <w:vAlign w:val="center"/>
          </w:tcPr>
          <w:p>
            <w:pPr>
              <w:rPr>
                <w:rFonts w:hint="eastAsia" w:ascii="仿宋_GB2312" w:eastAsia="仿宋_GB2312"/>
                <w:color w:val="000000"/>
                <w:sz w:val="18"/>
                <w:szCs w:val="18"/>
              </w:rPr>
            </w:pPr>
          </w:p>
        </w:tc>
        <w:tc>
          <w:tcPr>
            <w:tcW w:w="1418" w:type="dxa"/>
            <w:vAlign w:val="center"/>
          </w:tcPr>
          <w:p>
            <w:pPr>
              <w:rPr>
                <w:rFonts w:hint="eastAsia" w:ascii="仿宋_GB2312" w:hAnsi="宋体" w:eastAsia="仿宋_GB2312"/>
                <w:color w:val="000000"/>
                <w:sz w:val="18"/>
                <w:szCs w:val="18"/>
              </w:rPr>
            </w:pPr>
            <w:r>
              <w:rPr>
                <w:rFonts w:hint="eastAsia" w:ascii="仿宋_GB2312" w:hAnsi="宋体" w:eastAsia="仿宋_GB2312"/>
                <w:sz w:val="18"/>
                <w:szCs w:val="18"/>
              </w:rPr>
              <w:t>教育学</w:t>
            </w:r>
          </w:p>
        </w:tc>
        <w:tc>
          <w:tcPr>
            <w:tcW w:w="2551" w:type="dxa"/>
            <w:vAlign w:val="center"/>
          </w:tcPr>
          <w:p>
            <w:pPr>
              <w:rPr>
                <w:rFonts w:hint="eastAsia" w:ascii="仿宋_GB2312" w:hAnsi="宋体" w:eastAsia="仿宋_GB2312"/>
                <w:sz w:val="18"/>
                <w:szCs w:val="18"/>
              </w:rPr>
            </w:pPr>
            <w:r>
              <w:rPr>
                <w:rFonts w:hint="eastAsia" w:ascii="仿宋_GB2312" w:hAnsi="宋体" w:eastAsia="仿宋_GB2312"/>
                <w:sz w:val="18"/>
                <w:szCs w:val="18"/>
              </w:rPr>
              <w:t>让学生理解和掌握普通教育学发展的基本理论，构筑学生教育学方面发展的知识框架，引导学生树立正确的教育观、教师观、学生观、教学观、课程观、评价观，以及掌握良好的教学方法来解决教学中的问题，为幼儿教育、小学教育等工作提供教育学依据提升学生职业素养和教学技能。</w:t>
            </w:r>
          </w:p>
        </w:tc>
        <w:tc>
          <w:tcPr>
            <w:tcW w:w="2410" w:type="dxa"/>
            <w:vAlign w:val="center"/>
          </w:tcPr>
          <w:p>
            <w:pPr>
              <w:rPr>
                <w:rFonts w:hint="eastAsia" w:ascii="仿宋_GB2312" w:hAnsi="宋体" w:eastAsia="仿宋_GB2312"/>
                <w:color w:val="000000"/>
                <w:sz w:val="18"/>
                <w:szCs w:val="18"/>
              </w:rPr>
            </w:pPr>
            <w:r>
              <w:rPr>
                <w:rFonts w:hint="eastAsia" w:ascii="仿宋_GB2312" w:hAnsi="宋体" w:eastAsia="仿宋_GB2312"/>
                <w:sz w:val="18"/>
                <w:szCs w:val="18"/>
              </w:rPr>
              <w:t>以教育现象、教育问题为研究对象，归纳总结人类教育活动的科学理论与实践，探索解决教育活动产生、发展过程中遇到的问题，选择正确的教学方法，培养学生正确的教育改革发展理念，并践行在教育教学活动中。</w:t>
            </w:r>
          </w:p>
        </w:tc>
        <w:tc>
          <w:tcPr>
            <w:tcW w:w="2292" w:type="dxa"/>
            <w:vAlign w:val="center"/>
          </w:tcPr>
          <w:p>
            <w:pPr>
              <w:rPr>
                <w:rFonts w:hint="eastAsia" w:ascii="仿宋_GB2312" w:hAnsi="宋体" w:eastAsia="仿宋_GB2312"/>
                <w:color w:val="000000"/>
                <w:sz w:val="18"/>
                <w:szCs w:val="18"/>
              </w:rPr>
            </w:pPr>
            <w:r>
              <w:rPr>
                <w:rFonts w:hint="eastAsia" w:ascii="仿宋_GB2312" w:hAnsi="宋体" w:eastAsia="仿宋_GB2312" w:cs="宋体"/>
                <w:color w:val="000000"/>
                <w:sz w:val="18"/>
                <w:szCs w:val="18"/>
              </w:rPr>
              <w:t>严格落实《中国教育改革和发展纲要》的要求，以课堂教学为主，网络教学为辅，采取中班、小班化授课，教学内容丰富，教学目标明确，教学方法恰当，并合理地处理好师生关系，并进行合理的教学评估，使得师生共同发展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jc w:val="center"/>
        </w:trPr>
        <w:tc>
          <w:tcPr>
            <w:tcW w:w="593" w:type="dxa"/>
            <w:vAlign w:val="center"/>
          </w:tcPr>
          <w:p>
            <w:pPr>
              <w:rPr>
                <w:rFonts w:hint="eastAsia" w:ascii="仿宋_GB2312" w:hAnsi="宋体" w:eastAsia="仿宋_GB2312" w:cs="宋体"/>
                <w:sz w:val="18"/>
                <w:szCs w:val="18"/>
              </w:rPr>
            </w:pPr>
            <w:r>
              <w:rPr>
                <w:rFonts w:hint="eastAsia" w:ascii="仿宋_GB2312" w:eastAsia="仿宋_GB2312"/>
                <w:sz w:val="18"/>
                <w:szCs w:val="18"/>
              </w:rPr>
              <w:t>D232107　</w:t>
            </w:r>
          </w:p>
        </w:tc>
        <w:tc>
          <w:tcPr>
            <w:tcW w:w="708" w:type="dxa"/>
            <w:vMerge w:val="continue"/>
            <w:vAlign w:val="center"/>
          </w:tcPr>
          <w:p>
            <w:pPr>
              <w:rPr>
                <w:rFonts w:hint="eastAsia" w:ascii="仿宋_GB2312" w:eastAsia="仿宋_GB2312"/>
                <w:color w:val="000000"/>
                <w:sz w:val="18"/>
                <w:szCs w:val="18"/>
              </w:rPr>
            </w:pPr>
          </w:p>
        </w:tc>
        <w:tc>
          <w:tcPr>
            <w:tcW w:w="1418" w:type="dxa"/>
            <w:vAlign w:val="center"/>
          </w:tcPr>
          <w:p>
            <w:pPr>
              <w:rPr>
                <w:rFonts w:hint="eastAsia" w:ascii="仿宋_GB2312" w:hAnsi="宋体" w:eastAsia="仿宋_GB2312"/>
                <w:sz w:val="18"/>
                <w:szCs w:val="18"/>
              </w:rPr>
            </w:pPr>
            <w:r>
              <w:rPr>
                <w:rFonts w:hint="eastAsia" w:ascii="仿宋_GB2312" w:hAnsi="宋体" w:eastAsia="仿宋_GB2312"/>
                <w:sz w:val="18"/>
                <w:szCs w:val="18"/>
              </w:rPr>
              <w:t>儿童发展与教育心理学</w:t>
            </w:r>
          </w:p>
        </w:tc>
        <w:tc>
          <w:tcPr>
            <w:tcW w:w="2551" w:type="dxa"/>
            <w:vAlign w:val="center"/>
          </w:tcPr>
          <w:p>
            <w:pPr>
              <w:rPr>
                <w:rFonts w:hint="eastAsia" w:ascii="仿宋_GB2312" w:hAnsi="宋体" w:eastAsia="仿宋_GB2312"/>
                <w:sz w:val="18"/>
                <w:szCs w:val="18"/>
              </w:rPr>
            </w:pPr>
            <w:r>
              <w:rPr>
                <w:rFonts w:hint="eastAsia" w:ascii="仿宋_GB2312" w:hAnsi="宋体" w:eastAsia="仿宋_GB2312"/>
                <w:sz w:val="18"/>
                <w:szCs w:val="18"/>
              </w:rPr>
              <w:t>经过本课程的学习，学生具有一定的儿童发展与教育心理学的基础知识，善于从心理学的角度去分析儿童教育的过程，学会从心理学的角度去认识儿童的心理特点，在心理科学的指导下，独立学习和自我培养，不断丰富和完善自己。</w:t>
            </w:r>
          </w:p>
        </w:tc>
        <w:tc>
          <w:tcPr>
            <w:tcW w:w="2410" w:type="dxa"/>
            <w:vAlign w:val="center"/>
          </w:tcPr>
          <w:p>
            <w:pPr>
              <w:widowControl/>
              <w:rPr>
                <w:rFonts w:hint="eastAsia" w:ascii="仿宋_GB2312" w:hAnsi="宋体" w:eastAsia="仿宋_GB2312"/>
                <w:sz w:val="18"/>
                <w:szCs w:val="18"/>
              </w:rPr>
            </w:pPr>
            <w:r>
              <w:rPr>
                <w:rFonts w:hint="eastAsia" w:ascii="仿宋_GB2312" w:hAnsi="宋体" w:eastAsia="仿宋_GB2312"/>
                <w:sz w:val="18"/>
                <w:szCs w:val="18"/>
              </w:rPr>
              <w:t>全书共十二章，分为相对独立又相互呼应的四大板块。第一板块：第一章，概述教育中的儿童观和心理观，儿童发展与教育心理学的研究对象、研究方法等，以树立儿童教育的科学理念和方法。第二板块：第二至四章，主要介绍儿童发展与教育心理学的基本原理，以建构学习者的理论框架，为培养学习者的理论素养和进一步学习打下理论基础。第三板块：第五至九章，从学习的角度出发，分别从认知、自我意识、社会性、品德等方面全方位揭示小学儿童的心理发展规律并提出相应的培养措施。第四板块：第十至十二章，从教学的角度出发，安排了小学儿童的个别差异与因材施教、小学儿童心理与行为辅导、小学教师心理与儿童的发展等有关内容。</w:t>
            </w:r>
          </w:p>
        </w:tc>
        <w:tc>
          <w:tcPr>
            <w:tcW w:w="2292" w:type="dxa"/>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教与学要求有较强的实践操作性，注重发挥学生的创造性和主动性，让学生在主动学习中掌握知识。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jc w:val="center"/>
        </w:trPr>
        <w:tc>
          <w:tcPr>
            <w:tcW w:w="593" w:type="dxa"/>
            <w:vAlign w:val="center"/>
          </w:tcPr>
          <w:p>
            <w:pPr>
              <w:rPr>
                <w:rFonts w:hint="eastAsia" w:ascii="仿宋_GB2312" w:hAnsi="宋体" w:eastAsia="仿宋_GB2312" w:cs="宋体"/>
                <w:sz w:val="18"/>
                <w:szCs w:val="18"/>
              </w:rPr>
            </w:pPr>
            <w:r>
              <w:rPr>
                <w:rFonts w:hint="eastAsia" w:ascii="仿宋_GB2312" w:eastAsia="仿宋_GB2312"/>
                <w:sz w:val="18"/>
                <w:szCs w:val="18"/>
              </w:rPr>
              <w:t>D232108　</w:t>
            </w:r>
          </w:p>
        </w:tc>
        <w:tc>
          <w:tcPr>
            <w:tcW w:w="708" w:type="dxa"/>
            <w:vMerge w:val="continue"/>
            <w:vAlign w:val="center"/>
          </w:tcPr>
          <w:p>
            <w:pPr>
              <w:rPr>
                <w:rFonts w:hint="eastAsia" w:ascii="仿宋_GB2312" w:eastAsia="仿宋_GB2312"/>
                <w:color w:val="000000"/>
                <w:sz w:val="18"/>
                <w:szCs w:val="18"/>
              </w:rPr>
            </w:pPr>
          </w:p>
        </w:tc>
        <w:tc>
          <w:tcPr>
            <w:tcW w:w="1418" w:type="dxa"/>
            <w:vAlign w:val="center"/>
          </w:tcPr>
          <w:p>
            <w:pPr>
              <w:rPr>
                <w:rFonts w:hint="eastAsia" w:ascii="仿宋_GB2312" w:hAnsi="宋体" w:eastAsia="仿宋_GB2312"/>
                <w:sz w:val="18"/>
                <w:szCs w:val="18"/>
              </w:rPr>
            </w:pPr>
            <w:r>
              <w:rPr>
                <w:rFonts w:hint="eastAsia" w:ascii="仿宋_GB2312" w:hAnsi="宋体" w:eastAsia="仿宋_GB2312"/>
                <w:sz w:val="18"/>
                <w:szCs w:val="18"/>
              </w:rPr>
              <w:t>教育政策法规</w:t>
            </w:r>
          </w:p>
        </w:tc>
        <w:tc>
          <w:tcPr>
            <w:tcW w:w="2551" w:type="dxa"/>
            <w:vAlign w:val="center"/>
          </w:tcPr>
          <w:p>
            <w:pPr>
              <w:rPr>
                <w:rFonts w:hint="eastAsia" w:ascii="仿宋_GB2312" w:hAnsi="宋体" w:eastAsia="仿宋_GB2312"/>
                <w:sz w:val="18"/>
                <w:szCs w:val="18"/>
              </w:rPr>
            </w:pPr>
            <w:r>
              <w:rPr>
                <w:rFonts w:hint="eastAsia" w:ascii="仿宋_GB2312" w:hAnsi="宋体" w:eastAsia="仿宋_GB2312"/>
                <w:sz w:val="18"/>
                <w:szCs w:val="18"/>
              </w:rPr>
              <w:t>通过学习，比较全面和系统地掌握有关小学教育政策和法规的基本原理、 基本知识、基本概念和基本法律制度，为树立正确的教育观、法律观提供知识和材料，培养小学教育工作者的小学教育政策法规意识促进小学教育政策法规实践，引导小学教育政策法规的反思不断提高教育实践活动的合法化水平，提高教师依法执教的自觉性和运用法律保护自身合法权益的能力推动小学教师的专业化发展。</w:t>
            </w:r>
          </w:p>
        </w:tc>
        <w:tc>
          <w:tcPr>
            <w:tcW w:w="2410" w:type="dxa"/>
            <w:vAlign w:val="center"/>
          </w:tcPr>
          <w:p>
            <w:pPr>
              <w:rPr>
                <w:rFonts w:hint="eastAsia" w:ascii="仿宋_GB2312" w:hAnsi="宋体" w:eastAsia="仿宋_GB2312"/>
                <w:sz w:val="18"/>
                <w:szCs w:val="18"/>
              </w:rPr>
            </w:pPr>
            <w:r>
              <w:rPr>
                <w:rFonts w:hint="eastAsia" w:ascii="仿宋_GB2312" w:hAnsi="宋体" w:eastAsia="仿宋_GB2312"/>
                <w:sz w:val="18"/>
                <w:szCs w:val="18"/>
              </w:rPr>
              <w:t>了解和掌握教育法的基本知识和基本理论，以及我国教育法治的新理论与新问题，着重提高学生依法执教的能力。</w:t>
            </w:r>
          </w:p>
        </w:tc>
        <w:tc>
          <w:tcPr>
            <w:tcW w:w="2292" w:type="dxa"/>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主要采用课堂讲授、小组讨论、案例（视频）分析、等多种教学形式和方法，注重培养学生发现、分析以及解决问题的能力；培养学生创新意识和实践能力。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593" w:type="dxa"/>
            <w:vAlign w:val="center"/>
          </w:tcPr>
          <w:p>
            <w:pPr>
              <w:rPr>
                <w:rFonts w:hint="eastAsia" w:ascii="仿宋_GB2312" w:hAnsi="宋体" w:eastAsia="仿宋_GB2312" w:cs="宋体"/>
                <w:sz w:val="18"/>
                <w:szCs w:val="18"/>
              </w:rPr>
            </w:pPr>
            <w:r>
              <w:rPr>
                <w:rFonts w:hint="eastAsia" w:ascii="仿宋_GB2312" w:eastAsia="仿宋_GB2312"/>
                <w:sz w:val="18"/>
                <w:szCs w:val="18"/>
              </w:rPr>
              <w:t>D232109　</w:t>
            </w:r>
          </w:p>
        </w:tc>
        <w:tc>
          <w:tcPr>
            <w:tcW w:w="708" w:type="dxa"/>
            <w:vMerge w:val="continue"/>
            <w:vAlign w:val="center"/>
          </w:tcPr>
          <w:p>
            <w:pPr>
              <w:rPr>
                <w:rFonts w:hint="eastAsia" w:ascii="仿宋_GB2312" w:eastAsia="仿宋_GB2312"/>
                <w:color w:val="000000"/>
                <w:sz w:val="18"/>
                <w:szCs w:val="18"/>
              </w:rPr>
            </w:pPr>
          </w:p>
        </w:tc>
        <w:tc>
          <w:tcPr>
            <w:tcW w:w="1418" w:type="dxa"/>
            <w:vAlign w:val="center"/>
          </w:tcPr>
          <w:p>
            <w:pPr>
              <w:rPr>
                <w:rFonts w:hint="eastAsia" w:ascii="仿宋_GB2312" w:hAnsi="宋体" w:eastAsia="仿宋_GB2312"/>
                <w:sz w:val="18"/>
                <w:szCs w:val="18"/>
              </w:rPr>
            </w:pPr>
            <w:r>
              <w:rPr>
                <w:rFonts w:hint="eastAsia" w:ascii="仿宋_GB2312" w:hAnsi="宋体" w:eastAsia="仿宋_GB2312"/>
                <w:sz w:val="18"/>
                <w:szCs w:val="18"/>
              </w:rPr>
              <w:t>小学班级管理</w:t>
            </w:r>
          </w:p>
        </w:tc>
        <w:tc>
          <w:tcPr>
            <w:tcW w:w="2551" w:type="dxa"/>
            <w:vAlign w:val="center"/>
          </w:tcPr>
          <w:p>
            <w:pPr>
              <w:rPr>
                <w:rFonts w:hint="eastAsia" w:ascii="仿宋_GB2312" w:hAnsi="宋体" w:eastAsia="仿宋_GB2312"/>
                <w:sz w:val="18"/>
                <w:szCs w:val="18"/>
              </w:rPr>
            </w:pPr>
            <w:r>
              <w:rPr>
                <w:rFonts w:hint="eastAsia" w:ascii="仿宋_GB2312" w:hAnsi="宋体" w:eastAsia="仿宋_GB2312"/>
                <w:sz w:val="18"/>
                <w:szCs w:val="18"/>
              </w:rPr>
              <w:t>(1)培养学生的学习能力。 </w:t>
            </w:r>
          </w:p>
          <w:p>
            <w:pPr>
              <w:rPr>
                <w:rFonts w:hint="eastAsia" w:ascii="仿宋_GB2312" w:hAnsi="宋体" w:eastAsia="仿宋_GB2312"/>
                <w:sz w:val="18"/>
                <w:szCs w:val="18"/>
              </w:rPr>
            </w:pPr>
            <w:r>
              <w:rPr>
                <w:rFonts w:hint="eastAsia" w:ascii="仿宋_GB2312" w:hAnsi="宋体" w:eastAsia="仿宋_GB2312"/>
                <w:sz w:val="18"/>
                <w:szCs w:val="18"/>
              </w:rPr>
              <w:t>(2)培养学生必要的政治素质和具备一定的法律意识。 </w:t>
            </w:r>
          </w:p>
          <w:p>
            <w:pPr>
              <w:rPr>
                <w:rFonts w:hint="eastAsia" w:ascii="仿宋_GB2312" w:hAnsi="宋体" w:eastAsia="仿宋_GB2312"/>
                <w:sz w:val="18"/>
                <w:szCs w:val="18"/>
              </w:rPr>
            </w:pPr>
            <w:r>
              <w:rPr>
                <w:rFonts w:hint="eastAsia" w:ascii="仿宋_GB2312" w:hAnsi="宋体" w:eastAsia="仿宋_GB2312"/>
                <w:sz w:val="18"/>
                <w:szCs w:val="18"/>
              </w:rPr>
              <w:t>(3)培养学生良好的职业道德，并能立足专业规划自己未来的职业生涯。</w:t>
            </w:r>
          </w:p>
          <w:p>
            <w:pPr>
              <w:rPr>
                <w:rFonts w:hint="eastAsia" w:ascii="仿宋_GB2312" w:hAnsi="宋体" w:eastAsia="仿宋_GB2312"/>
                <w:sz w:val="18"/>
                <w:szCs w:val="18"/>
              </w:rPr>
            </w:pPr>
            <w:r>
              <w:rPr>
                <w:rFonts w:hint="eastAsia" w:ascii="仿宋_GB2312" w:hAnsi="宋体" w:eastAsia="仿宋_GB2312"/>
                <w:sz w:val="18"/>
                <w:szCs w:val="18"/>
              </w:rPr>
              <w:t>(4)培养学生必备的人文素质和健康的身心。 (5)培养学生分析和解决实际问题的能力。</w:t>
            </w:r>
          </w:p>
        </w:tc>
        <w:tc>
          <w:tcPr>
            <w:tcW w:w="2410" w:type="dxa"/>
            <w:vAlign w:val="center"/>
          </w:tcPr>
          <w:p>
            <w:pPr>
              <w:rPr>
                <w:rFonts w:hint="eastAsia" w:ascii="仿宋_GB2312" w:hAnsi="宋体" w:eastAsia="仿宋_GB2312"/>
                <w:sz w:val="18"/>
                <w:szCs w:val="18"/>
              </w:rPr>
            </w:pPr>
            <w:r>
              <w:rPr>
                <w:rFonts w:hint="eastAsia" w:ascii="仿宋_GB2312" w:hAnsi="宋体" w:eastAsia="仿宋_GB2312"/>
                <w:sz w:val="18"/>
                <w:szCs w:val="18"/>
              </w:rPr>
              <w:t>（1）掌握班级管理的基本知识，包括班级与班主任含义、班级管理与小学班级管理； （2）提高学员的班级管理理论素养，形成现代班级管理观念；（3）使学生学会了解小学班级管理的规律，能够解决教育教学中出现的各种问题； </w:t>
            </w:r>
          </w:p>
          <w:p>
            <w:pPr>
              <w:rPr>
                <w:rFonts w:hint="eastAsia" w:ascii="仿宋_GB2312" w:hAnsi="宋体" w:eastAsia="仿宋_GB2312"/>
                <w:sz w:val="18"/>
                <w:szCs w:val="18"/>
              </w:rPr>
            </w:pPr>
            <w:r>
              <w:rPr>
                <w:rFonts w:hint="eastAsia" w:ascii="仿宋_GB2312" w:hAnsi="宋体" w:eastAsia="仿宋_GB2312"/>
                <w:sz w:val="18"/>
                <w:szCs w:val="18"/>
              </w:rPr>
              <w:t>（4）了解小学生成长的重要环境、小学班级、班级中非正式群体、网络与小学生的班级活动、班级管理与儿童的权利；（5）班级管理的过程与目标、班级管理目标的设定、班级管理的基本任务、小学班级组织建设、小学班级日常管理、小学班级活动管理；（6）学会正确运用班级教育力量管理、加强班主任的自我管理； （7）能进行初步的小学班级管理研究。</w:t>
            </w:r>
          </w:p>
        </w:tc>
        <w:tc>
          <w:tcPr>
            <w:tcW w:w="2292" w:type="dxa"/>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以马列主义、毛泽东思想、邓小平理论为指导，按照科学、简明、  实用的要求，讲授班级管理的一般理论知识，使学生理解和掌握有关概念、原理、原则、事实，形成必要的现代班级管理观念和基本的理论思维能力。</w:t>
            </w:r>
          </w:p>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小学班主任管理是本课程教学的重点。按照理论联系实际的要求讲授班级管理，使学生理解和掌握其目标、特点和要求。提高从事班级管理的技能和能力。3.加强教学的实践性环节。突出操作性。促进管理理论向管理规范进而向管理技能和能力的转化。培养学生面向学校教育改</w:t>
            </w:r>
          </w:p>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革实际的实践意识及分析和解决实际问题的能力。提高管理人员的综合素质。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jc w:val="center"/>
        </w:trPr>
        <w:tc>
          <w:tcPr>
            <w:tcW w:w="593" w:type="dxa"/>
            <w:vAlign w:val="center"/>
          </w:tcPr>
          <w:p>
            <w:pPr>
              <w:rPr>
                <w:rFonts w:hint="eastAsia" w:ascii="仿宋_GB2312" w:hAnsi="宋体" w:eastAsia="仿宋_GB2312" w:cs="宋体"/>
                <w:sz w:val="18"/>
                <w:szCs w:val="18"/>
              </w:rPr>
            </w:pPr>
            <w:r>
              <w:rPr>
                <w:rFonts w:hint="eastAsia" w:ascii="仿宋_GB2312" w:eastAsia="仿宋_GB2312"/>
                <w:sz w:val="18"/>
                <w:szCs w:val="18"/>
              </w:rPr>
              <w:t>D232110　</w:t>
            </w:r>
          </w:p>
        </w:tc>
        <w:tc>
          <w:tcPr>
            <w:tcW w:w="708" w:type="dxa"/>
            <w:vMerge w:val="continue"/>
            <w:vAlign w:val="center"/>
          </w:tcPr>
          <w:p>
            <w:pPr>
              <w:rPr>
                <w:rFonts w:hint="eastAsia" w:ascii="仿宋_GB2312" w:eastAsia="仿宋_GB2312"/>
                <w:color w:val="000000"/>
                <w:sz w:val="18"/>
                <w:szCs w:val="18"/>
              </w:rPr>
            </w:pPr>
          </w:p>
        </w:tc>
        <w:tc>
          <w:tcPr>
            <w:tcW w:w="1418" w:type="dxa"/>
            <w:vAlign w:val="center"/>
          </w:tcPr>
          <w:p>
            <w:pPr>
              <w:rPr>
                <w:rFonts w:hint="eastAsia" w:ascii="仿宋_GB2312" w:hAnsi="宋体" w:eastAsia="仿宋_GB2312"/>
                <w:sz w:val="18"/>
                <w:szCs w:val="18"/>
              </w:rPr>
            </w:pPr>
            <w:r>
              <w:rPr>
                <w:rFonts w:hint="eastAsia" w:ascii="仿宋_GB2312" w:hAnsi="宋体" w:eastAsia="仿宋_GB2312"/>
                <w:sz w:val="18"/>
                <w:szCs w:val="18"/>
              </w:rPr>
              <w:t>简笔画与板报设计</w:t>
            </w:r>
          </w:p>
        </w:tc>
        <w:tc>
          <w:tcPr>
            <w:tcW w:w="2551" w:type="dxa"/>
            <w:vAlign w:val="center"/>
          </w:tcPr>
          <w:p>
            <w:pPr>
              <w:rPr>
                <w:rFonts w:hint="eastAsia" w:ascii="仿宋_GB2312" w:hAnsi="宋体" w:eastAsia="仿宋_GB2312"/>
                <w:sz w:val="18"/>
                <w:szCs w:val="18"/>
              </w:rPr>
            </w:pPr>
            <w:r>
              <w:rPr>
                <w:rFonts w:hint="eastAsia" w:ascii="仿宋_GB2312" w:hAnsi="宋体" w:eastAsia="仿宋_GB2312"/>
                <w:sz w:val="18"/>
                <w:szCs w:val="18"/>
              </w:rPr>
              <w:t>通过引导学生欣赏、观察、会画各种动物、植物、景物，感知它们的外形。</w:t>
            </w:r>
          </w:p>
          <w:p>
            <w:pPr>
              <w:rPr>
                <w:rFonts w:hint="eastAsia" w:ascii="仿宋_GB2312" w:hAnsi="宋体" w:eastAsia="仿宋_GB2312"/>
                <w:sz w:val="18"/>
                <w:szCs w:val="18"/>
              </w:rPr>
            </w:pPr>
            <w:r>
              <w:rPr>
                <w:rFonts w:hint="eastAsia" w:ascii="仿宋_GB2312" w:hAnsi="宋体" w:eastAsia="仿宋_GB2312"/>
                <w:sz w:val="18"/>
                <w:szCs w:val="18"/>
              </w:rPr>
              <w:t>能力目标：掌握用简单的线条来表现景物外形特点的方法，锻炼动手能力。</w:t>
            </w:r>
          </w:p>
          <w:p>
            <w:pPr>
              <w:rPr>
                <w:rFonts w:hint="eastAsia" w:ascii="仿宋_GB2312" w:hAnsi="宋体" w:eastAsia="仿宋_GB2312"/>
                <w:sz w:val="18"/>
                <w:szCs w:val="18"/>
              </w:rPr>
            </w:pPr>
            <w:r>
              <w:rPr>
                <w:rFonts w:hint="eastAsia" w:ascii="仿宋_GB2312" w:hAnsi="宋体" w:eastAsia="仿宋_GB2312"/>
                <w:sz w:val="18"/>
                <w:szCs w:val="18"/>
              </w:rPr>
              <w:t>情感领域：让学生在欣赏的过程中得到美的熏陶，在动手制作中懂得珍惜自然，爱护生灵，增强学生对大自然的热爱及保护自然的责任感，激发学生对人类生态保护的意识。</w:t>
            </w:r>
          </w:p>
        </w:tc>
        <w:tc>
          <w:tcPr>
            <w:tcW w:w="2410" w:type="dxa"/>
            <w:vAlign w:val="center"/>
          </w:tcPr>
          <w:p>
            <w:pPr>
              <w:rPr>
                <w:rFonts w:hint="eastAsia" w:ascii="仿宋_GB2312" w:hAnsi="宋体" w:eastAsia="仿宋_GB2312"/>
                <w:sz w:val="18"/>
                <w:szCs w:val="18"/>
              </w:rPr>
            </w:pPr>
            <w:r>
              <w:rPr>
                <w:rFonts w:hint="eastAsia" w:ascii="仿宋_GB2312" w:hAnsi="宋体" w:eastAsia="仿宋_GB2312"/>
                <w:sz w:val="18"/>
                <w:szCs w:val="18"/>
              </w:rPr>
              <w:t>使学生掌握简笔画的基本技巧，并利用静物、植物、景物、动物、人物等简笔画技法，具备手脑眼协调发展的操作能力。</w:t>
            </w:r>
          </w:p>
        </w:tc>
        <w:tc>
          <w:tcPr>
            <w:tcW w:w="2292" w:type="dxa"/>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本课程是一门以幼儿绘画教学为核心内容的课程，其教学要以打形、勾边、涂色为主要方法，实行演示+指导式教学。教学可在实际体验情境中进行。在学习情境中，建议多讲解、演示，实施循序渐进式教学。可设计的项目包括静物、植物、景物、动物、人物简笔画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D232111　</w:t>
            </w:r>
          </w:p>
        </w:tc>
        <w:tc>
          <w:tcPr>
            <w:tcW w:w="708" w:type="dxa"/>
            <w:vMerge w:val="restart"/>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专业核心课(必修)</w:t>
            </w:r>
          </w:p>
          <w:p>
            <w:pPr>
              <w:rPr>
                <w:rFonts w:hint="eastAsia" w:ascii="仿宋_GB2312" w:eastAsia="仿宋_GB2312" w:hAnsiTheme="minorEastAsia"/>
                <w:color w:val="000000"/>
                <w:sz w:val="18"/>
                <w:szCs w:val="18"/>
              </w:rPr>
            </w:pPr>
          </w:p>
        </w:tc>
        <w:tc>
          <w:tcPr>
            <w:tcW w:w="1418"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小学科学教材教法</w:t>
            </w:r>
          </w:p>
        </w:tc>
        <w:tc>
          <w:tcPr>
            <w:tcW w:w="2551"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通过本课程的学习能够准确把握科学课程标准与教材，掌握小学科学教学常用的教学方法与技能，热爱小学科学教育事业，具备小学科学课程的教育教学与科研能力。</w:t>
            </w:r>
          </w:p>
        </w:tc>
        <w:tc>
          <w:tcPr>
            <w:tcW w:w="2410" w:type="dxa"/>
            <w:shd w:val="clear" w:color="auto" w:fill="auto"/>
            <w:vAlign w:val="center"/>
          </w:tcPr>
          <w:p>
            <w:pPr>
              <w:pStyle w:val="128"/>
              <w:ind w:firstLine="0" w:firstLineChars="0"/>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（1）小学科学课程教学的理论基础；（2）小学科学课程标准；（3）科学课的教学设计；（4）科学课的教学方法；（5）科学课程开发与资源利用；（6）小学科学课程的评价。</w:t>
            </w:r>
          </w:p>
        </w:tc>
        <w:tc>
          <w:tcPr>
            <w:tcW w:w="2292"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执行《小学科学教材教法的课程标准》，根据学科特点和学生实际推行“学中做，做中学”的教学模式，灵活采用各种教学方法，重点推行任务驱动教学法、案例教学法、情境教学法、参与式教学法，采用多种教学手段，利用现代信息技术，激发学生学习兴趣，切实提高教学效果。改革考试考核方法，突出过程性学习考核和专业技能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D232112　</w:t>
            </w:r>
          </w:p>
        </w:tc>
        <w:tc>
          <w:tcPr>
            <w:tcW w:w="708" w:type="dxa"/>
            <w:vMerge w:val="continue"/>
            <w:shd w:val="clear" w:color="auto" w:fill="auto"/>
            <w:vAlign w:val="center"/>
          </w:tcPr>
          <w:p>
            <w:pPr>
              <w:rPr>
                <w:rFonts w:hint="eastAsia" w:ascii="仿宋_GB2312" w:eastAsia="仿宋_GB2312" w:hAnsiTheme="minorEastAsia"/>
                <w:color w:val="000000"/>
                <w:sz w:val="18"/>
                <w:szCs w:val="18"/>
              </w:rPr>
            </w:pPr>
          </w:p>
        </w:tc>
        <w:tc>
          <w:tcPr>
            <w:tcW w:w="1418"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普通物理</w:t>
            </w:r>
          </w:p>
        </w:tc>
        <w:tc>
          <w:tcPr>
            <w:tcW w:w="2551"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通过本课程的学习，使学生逐步掌握物理学研究问题的思路和方法，在获取知识的同时，学生建立物理模型的能力、定性分析、估算与计算的能力、独立获取知识的能力、理论联系实际的能力获得提高与发展。开阔思路，激发探索和创新精神，增强适应能力，提升其科学技术的整体素养。同时，使学生掌握科学的学习方法，形成良好的学习习惯，养成辩证唯物主义的世界观和方法论。</w:t>
            </w:r>
          </w:p>
        </w:tc>
        <w:tc>
          <w:tcPr>
            <w:tcW w:w="2410" w:type="dxa"/>
            <w:shd w:val="clear" w:color="auto" w:fill="auto"/>
            <w:vAlign w:val="center"/>
          </w:tcPr>
          <w:p>
            <w:pPr>
              <w:pStyle w:val="128"/>
              <w:ind w:firstLine="0" w:firstLineChars="0"/>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主要内容包括质点力学、刚体力学、流体力学、热学分子物理、振动与波、电磁学、几何光学、物理光学、原子的量子理论、原子核和粒子。</w:t>
            </w:r>
          </w:p>
        </w:tc>
        <w:tc>
          <w:tcPr>
            <w:tcW w:w="2292"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按照《普通物理课程标准》完成教学计划，注重知识传授的同时，培提高学生的科学素养，加强教学方法与教学模式的改革，运用多种教学手段完成教学。在大学物理课程的各个教学环节中，做到在传授知识的同时，注重学生分析问题和解决问题能力的培养，注重学生探索精神和创新意识的培养，努力实现学生知识、能力、素质的协调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D232113　</w:t>
            </w:r>
          </w:p>
        </w:tc>
        <w:tc>
          <w:tcPr>
            <w:tcW w:w="708" w:type="dxa"/>
            <w:vMerge w:val="continue"/>
            <w:shd w:val="clear" w:color="auto" w:fill="auto"/>
            <w:vAlign w:val="center"/>
          </w:tcPr>
          <w:p>
            <w:pPr>
              <w:rPr>
                <w:rFonts w:hint="eastAsia" w:ascii="仿宋_GB2312" w:eastAsia="仿宋_GB2312" w:hAnsiTheme="minorEastAsia"/>
                <w:color w:val="000000"/>
                <w:sz w:val="18"/>
                <w:szCs w:val="18"/>
              </w:rPr>
            </w:pPr>
          </w:p>
        </w:tc>
        <w:tc>
          <w:tcPr>
            <w:tcW w:w="1418"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普通化学</w:t>
            </w:r>
          </w:p>
        </w:tc>
        <w:tc>
          <w:tcPr>
            <w:tcW w:w="2551"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通过本课程的学习理解当代化学学科的基本原理与框架，提高化学认知水平和分析解决自身生存和发展的一些问题的能力，形成正确的科学观、社会观、价值观，进而提高综合素质，创新能力。</w:t>
            </w:r>
          </w:p>
        </w:tc>
        <w:tc>
          <w:tcPr>
            <w:tcW w:w="2410"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化学基本概念、化学基本原理、化学动力学基础，化学热力学基础与化学平衡，溶液、胶体。氧化还原反应与电化学，物质结构基础，配合物，非金属、金属元素及其化合物，有机化学基础、烃和烃的衍生物，化学与生命、化学与环境、化学与能源、化学与材料、化学与农业等。</w:t>
            </w:r>
          </w:p>
        </w:tc>
        <w:tc>
          <w:tcPr>
            <w:tcW w:w="2292"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严格执行《普通化学课程标准》进行教学，体现课程改革的基本理念，尊重和满足不同学生的需要，运用多种教学方式、方法和手段，引导学生积极主动地学习，掌握最基本的化学知识和技能，了解化学科学研究的过程和方法，形成积极的情感态度和价值观，提高科学素养和人文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D232114　</w:t>
            </w:r>
          </w:p>
        </w:tc>
        <w:tc>
          <w:tcPr>
            <w:tcW w:w="708" w:type="dxa"/>
            <w:vMerge w:val="continue"/>
            <w:shd w:val="clear" w:color="auto" w:fill="auto"/>
            <w:vAlign w:val="center"/>
          </w:tcPr>
          <w:p>
            <w:pPr>
              <w:rPr>
                <w:rFonts w:hint="eastAsia" w:ascii="仿宋_GB2312" w:eastAsia="仿宋_GB2312" w:hAnsiTheme="minorEastAsia"/>
                <w:color w:val="000000"/>
                <w:sz w:val="18"/>
                <w:szCs w:val="18"/>
              </w:rPr>
            </w:pPr>
          </w:p>
        </w:tc>
        <w:tc>
          <w:tcPr>
            <w:tcW w:w="1418"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生命科学</w:t>
            </w:r>
          </w:p>
        </w:tc>
        <w:tc>
          <w:tcPr>
            <w:tcW w:w="2551"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通过对《基础生命科学》的学习，能够概括生物技术的基本理论，应用这些理论认识生命活动规律，学会应用基础生命科学的基本理论和基本知识解释与人类健康、疾病相关的一些生活问题。提高学生的科学素养。</w:t>
            </w:r>
          </w:p>
        </w:tc>
        <w:tc>
          <w:tcPr>
            <w:tcW w:w="2410"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生物大分子的结构与功能，着重介绍蛋白质、酶、核酸的结构与功能；（2）阐述三大营养物质在机体中的代谢过程及其过程中所产生的能量，以及能量产生的调节；（3）遗传信息在机体内的传递规律；（4）细胞各部分结构及功能；（5）动植物生长发育过程及调节；（6）生态与环境；（7）生物技术与人类。</w:t>
            </w:r>
          </w:p>
        </w:tc>
        <w:tc>
          <w:tcPr>
            <w:tcW w:w="2292" w:type="dxa"/>
            <w:shd w:val="clear" w:color="auto" w:fill="auto"/>
            <w:vAlign w:val="center"/>
          </w:tcPr>
          <w:p>
            <w:pPr>
              <w:autoSpaceDN w:val="0"/>
              <w:snapToGrid w:val="0"/>
              <w:ind w:firstLine="360" w:firstLineChars="200"/>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重视学生在校学习与实际工作的一致性。坚持学生为主体、教师为主导的教学理念。突出启发式教学、讨论式教学、问题式教学等教学方法，灵活运用视频录像、电子幻灯、学科专业网站等多种现代化教学手段，发挥信息化教学的特点和优势，着力提高学生的学习兴趣、调动学生的积极主动性。</w:t>
            </w:r>
          </w:p>
          <w:p>
            <w:pPr>
              <w:rPr>
                <w:rFonts w:hint="eastAsia" w:ascii="仿宋_GB2312" w:eastAsia="仿宋_GB2312" w:hAnsi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D232115　</w:t>
            </w:r>
          </w:p>
        </w:tc>
        <w:tc>
          <w:tcPr>
            <w:tcW w:w="708" w:type="dxa"/>
            <w:vMerge w:val="continue"/>
            <w:shd w:val="clear" w:color="auto" w:fill="auto"/>
            <w:vAlign w:val="center"/>
          </w:tcPr>
          <w:p>
            <w:pPr>
              <w:rPr>
                <w:rFonts w:hint="eastAsia" w:ascii="仿宋_GB2312" w:eastAsia="仿宋_GB2312" w:hAnsiTheme="minorEastAsia"/>
                <w:color w:val="000000"/>
                <w:sz w:val="18"/>
                <w:szCs w:val="18"/>
              </w:rPr>
            </w:pPr>
          </w:p>
        </w:tc>
        <w:tc>
          <w:tcPr>
            <w:tcW w:w="1418" w:type="dxa"/>
            <w:shd w:val="clear" w:color="auto" w:fill="auto"/>
            <w:vAlign w:val="center"/>
          </w:tcPr>
          <w:p>
            <w:pPr>
              <w:rPr>
                <w:rFonts w:hint="eastAsia" w:ascii="仿宋_GB2312" w:eastAsia="仿宋_GB2312" w:hAnsiTheme="minorEastAsia"/>
                <w:color w:val="000000"/>
                <w:sz w:val="18"/>
                <w:szCs w:val="18"/>
                <w:lang w:eastAsia="zh-CN"/>
              </w:rPr>
            </w:pPr>
            <w:r>
              <w:rPr>
                <w:rFonts w:hint="eastAsia" w:ascii="仿宋_GB2312" w:eastAsia="仿宋_GB2312" w:hAnsiTheme="minorEastAsia"/>
                <w:color w:val="000000"/>
                <w:sz w:val="18"/>
                <w:szCs w:val="18"/>
                <w:lang w:eastAsia="zh-CN"/>
              </w:rPr>
              <w:t>地球与空间科学</w:t>
            </w:r>
          </w:p>
        </w:tc>
        <w:tc>
          <w:tcPr>
            <w:tcW w:w="2551"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掌握地球的宇宙环境，普通天文学的基本知识，理解各种常见的自然现象产生和发展的机理，能够形成利用自然科学的基本原理分析地理环境的技能，能够延伸学生思维空间、拓展地理知识面，同时锻炼解答日常生活中自然地理现象问题的能力。</w:t>
            </w:r>
          </w:p>
        </w:tc>
        <w:tc>
          <w:tcPr>
            <w:tcW w:w="2410"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宇宙、太阳系、太阳、地球、月球与地球系；（2）大气圈的组成结构、运动状况以及各种天气、气候的形成；（3）水圈的水体运动与循环平衡；（4）岩石圈的地质作用与全球构造理论；（5）地壳演化史；（6）生物圈及生物圈与人的相关关系；（7）各地里圈层间相互作用（8）地球表层整体性与差异性。</w:t>
            </w:r>
          </w:p>
        </w:tc>
        <w:tc>
          <w:tcPr>
            <w:tcW w:w="2292"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根据本课程特点，坚持理论联系实际，采取多种教学手段和方法，揭示各部分知识的结构及知识间的内在联系，使教学呈现清晰的主干脉络和条理性，使学生学习有明确的目标意识，从而增强学生学习的自觉性、能动性和创造性，引导学生积极主动的观察地理现象，发现内在规律，培养学生解决生活中的实际问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D232116　</w:t>
            </w:r>
          </w:p>
        </w:tc>
        <w:tc>
          <w:tcPr>
            <w:tcW w:w="708" w:type="dxa"/>
            <w:vMerge w:val="continue"/>
            <w:shd w:val="clear" w:color="auto" w:fill="auto"/>
            <w:vAlign w:val="center"/>
          </w:tcPr>
          <w:p>
            <w:pPr>
              <w:rPr>
                <w:rFonts w:hint="eastAsia" w:ascii="仿宋_GB2312" w:eastAsia="仿宋_GB2312" w:hAnsiTheme="minorEastAsia"/>
                <w:color w:val="000000"/>
                <w:sz w:val="18"/>
                <w:szCs w:val="18"/>
              </w:rPr>
            </w:pPr>
          </w:p>
        </w:tc>
        <w:tc>
          <w:tcPr>
            <w:tcW w:w="1418"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实验设计与教具制作</w:t>
            </w:r>
          </w:p>
        </w:tc>
        <w:tc>
          <w:tcPr>
            <w:tcW w:w="2551"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通过本课程的学习学会运用自然科学的理论基础知识，结合生活实际设计实验，揭示自然现象的奥秘，探索生命现象的规律，培养学生实事求是的科学态度，勇于探究敢于创新的科学精神，以及较强的科学观察能力、实验能力、操作能力，并能用生活用品自行设计制作小学学具教具。</w:t>
            </w:r>
          </w:p>
        </w:tc>
        <w:tc>
          <w:tcPr>
            <w:tcW w:w="2410"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（1）实验设计原则；（2)实验设计实例；（3）教具与教具制作，（4）物理教具制作及使用,；（5）数学教具制作及使用；（6）生物教具制作（7）投影仪教具制作（8）化学趣味小实验及小魔术</w:t>
            </w:r>
          </w:p>
        </w:tc>
        <w:tc>
          <w:tcPr>
            <w:tcW w:w="2292"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根据课标要求，.坚持能力为重，注重实际操作，在教学中推行示范教学法，练习教学法，启发学生思维，培养创新意识与创新精神，拓展课外学习和实践活动，突出学生个性发展和从教能力、综合实践能力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D232117　</w:t>
            </w:r>
          </w:p>
        </w:tc>
        <w:tc>
          <w:tcPr>
            <w:tcW w:w="708" w:type="dxa"/>
            <w:vMerge w:val="continue"/>
            <w:shd w:val="clear" w:color="auto" w:fill="auto"/>
            <w:vAlign w:val="center"/>
          </w:tcPr>
          <w:p>
            <w:pPr>
              <w:rPr>
                <w:rFonts w:hint="eastAsia" w:ascii="仿宋_GB2312" w:eastAsia="仿宋_GB2312" w:hAnsiTheme="minorEastAsia"/>
                <w:color w:val="000000"/>
                <w:sz w:val="18"/>
                <w:szCs w:val="18"/>
              </w:rPr>
            </w:pPr>
          </w:p>
        </w:tc>
        <w:tc>
          <w:tcPr>
            <w:tcW w:w="1418"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科学实验</w:t>
            </w:r>
          </w:p>
        </w:tc>
        <w:tc>
          <w:tcPr>
            <w:tcW w:w="2551" w:type="dxa"/>
            <w:shd w:val="clear" w:color="auto" w:fill="auto"/>
            <w:vAlign w:val="center"/>
          </w:tcPr>
          <w:p>
            <w:pPr>
              <w:ind w:firstLine="360" w:firstLineChars="200"/>
              <w:rPr>
                <w:rFonts w:hint="eastAsia" w:ascii="仿宋_GB2312" w:eastAsia="仿宋_GB2312" w:hAnsiTheme="minorEastAsia"/>
                <w:sz w:val="18"/>
                <w:szCs w:val="18"/>
              </w:rPr>
            </w:pPr>
            <w:r>
              <w:rPr>
                <w:rFonts w:hint="eastAsia" w:ascii="仿宋_GB2312" w:eastAsia="仿宋_GB2312" w:hAnsiTheme="minorEastAsia"/>
                <w:sz w:val="18"/>
                <w:szCs w:val="18"/>
              </w:rPr>
              <w:t>通过本课程的学习，掌握进行科学实验所需要的实验技能，传播科学知识、科学方法、科学思想、科学精神，体验科学实验的过程、发展科学实验的能力、增进对科学实验的理解、养成通过科学实验进行学习和解决问题的习惯，培养科学素养，为终身学习与发展奠定基础。</w:t>
            </w:r>
          </w:p>
          <w:p>
            <w:pPr>
              <w:rPr>
                <w:rFonts w:hint="eastAsia" w:ascii="仿宋_GB2312" w:eastAsia="仿宋_GB2312" w:hAnsiTheme="minorEastAsia"/>
                <w:color w:val="000000"/>
                <w:sz w:val="18"/>
                <w:szCs w:val="18"/>
              </w:rPr>
            </w:pPr>
          </w:p>
        </w:tc>
        <w:tc>
          <w:tcPr>
            <w:tcW w:w="2410"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科学实验的实验精神、试验方法、实验要求、实验安全；（2）物理化学生物地理四学科领域的普遍现象、科学规律及小学科学课程有关的实验；（3）上述实验的实验目标、实验设计、实验原理、数据分析等。</w:t>
            </w:r>
          </w:p>
        </w:tc>
        <w:tc>
          <w:tcPr>
            <w:tcW w:w="2292"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根据课程特点与学生实际情况，采取理实结合，精讲理论，重在实操的教学理念，强化学生的探究意识，注重学生主体作用的发挥，培养学生自主学习与合作学习能力，注重示范性教学，强调操作的规范性，培养严谨认真的科学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3"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D232118　</w:t>
            </w:r>
          </w:p>
        </w:tc>
        <w:tc>
          <w:tcPr>
            <w:tcW w:w="708" w:type="dxa"/>
            <w:vMerge w:val="continue"/>
            <w:shd w:val="clear" w:color="auto" w:fill="auto"/>
            <w:vAlign w:val="center"/>
          </w:tcPr>
          <w:p>
            <w:pPr>
              <w:rPr>
                <w:rFonts w:hint="eastAsia" w:ascii="仿宋_GB2312" w:eastAsia="仿宋_GB2312" w:hAnsiTheme="minorEastAsia"/>
                <w:color w:val="000000"/>
                <w:sz w:val="18"/>
                <w:szCs w:val="18"/>
              </w:rPr>
            </w:pPr>
          </w:p>
        </w:tc>
        <w:tc>
          <w:tcPr>
            <w:tcW w:w="1418"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高等数学</w:t>
            </w:r>
          </w:p>
        </w:tc>
        <w:tc>
          <w:tcPr>
            <w:tcW w:w="2551"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掌握一元函数微积分的基本概念，能够应用微积分的思想方法解决与之相关的实际问题;(2）理解常微分方程的思想与方法，能求解与之相关的具体问题；（3）掌握概率论的基本思想，了解发展史上的著名问题，能够正确处理概率问题；（4）理解线性代数中重要的思想与方法，掌握行列式与矩阵，能初步利用它们处理与之相关的简单问题；（5）养成严谨认真的学习态度，提升学习中的质疑、探索和创新的精神，增强数学的创新意识与审美意识。</w:t>
            </w:r>
          </w:p>
        </w:tc>
        <w:tc>
          <w:tcPr>
            <w:tcW w:w="2410"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（1）第一模块：一元函数微积分：包括函数，极限，导数、微分及其应用，不定积分、定积分及其应用等内容；</w:t>
            </w:r>
          </w:p>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2）第二模块：高等数学分支介绍—常微分方程，这是微积分的直接应用，有很多广泛应用的现实实例；概率初步选讲，主要探讨随机数学的概念、思想与研究方法；线性代数——主要介绍行列式和矩阵这两个高度有用的工具。</w:t>
            </w:r>
          </w:p>
        </w:tc>
        <w:tc>
          <w:tcPr>
            <w:tcW w:w="2292" w:type="dxa"/>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严格执行《高等数学课程标准》进行教学，联系实际，深挖教材，积极探索适合科学教育专业教学实际的教学模式、教学方法，采取翻转课堂教学，积极倡导合作式探究学习，培养学生自主学习能力，运用现代教育技术手段提高教学效率，改革考核评价机制，注重过程评价。根据专业特点教学中突出师范性和示范性。</w:t>
            </w:r>
          </w:p>
        </w:tc>
      </w:tr>
    </w:tbl>
    <w:p>
      <w:pPr>
        <w:outlineLvl w:val="0"/>
        <w:rPr>
          <w:rFonts w:ascii="黑体" w:hAnsi="黑体" w:eastAsia="黑体" w:cs="宋体"/>
          <w:bCs/>
          <w:sz w:val="24"/>
        </w:rPr>
      </w:pPr>
      <w:r>
        <w:rPr>
          <w:rFonts w:hint="eastAsia" w:ascii="黑体" w:hAnsi="黑体" w:eastAsia="黑体" w:cs="宋体"/>
          <w:bCs/>
          <w:sz w:val="24"/>
        </w:rPr>
        <w:t>七、教学进度总体安排</w:t>
      </w:r>
    </w:p>
    <w:p>
      <w:pPr>
        <w:ind w:firstLine="482" w:firstLineChars="200"/>
        <w:rPr>
          <w:rFonts w:hint="eastAsia" w:ascii="仿宋_GB2312" w:eastAsia="仿宋_GB2312"/>
          <w:b/>
          <w:sz w:val="24"/>
        </w:rPr>
      </w:pPr>
      <w:r>
        <w:rPr>
          <w:rFonts w:hint="eastAsia" w:ascii="仿宋_GB2312" w:hAnsi="宋体" w:eastAsia="仿宋_GB2312" w:cs="宋体"/>
          <w:b/>
          <w:sz w:val="24"/>
        </w:rPr>
        <w:t>（一）教学时间分配表</w:t>
      </w:r>
    </w:p>
    <w:tbl>
      <w:tblPr>
        <w:tblStyle w:val="21"/>
        <w:tblW w:w="91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98"/>
        <w:gridCol w:w="1032"/>
        <w:gridCol w:w="1032"/>
        <w:gridCol w:w="879"/>
        <w:gridCol w:w="675"/>
        <w:gridCol w:w="523"/>
        <w:gridCol w:w="839"/>
        <w:gridCol w:w="792"/>
        <w:gridCol w:w="841"/>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696" w:type="dxa"/>
            <w:vMerge w:val="restart"/>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学年</w:t>
            </w:r>
          </w:p>
        </w:tc>
        <w:tc>
          <w:tcPr>
            <w:tcW w:w="698" w:type="dxa"/>
            <w:vMerge w:val="restart"/>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学期</w:t>
            </w:r>
          </w:p>
        </w:tc>
        <w:tc>
          <w:tcPr>
            <w:tcW w:w="1032" w:type="dxa"/>
            <w:vMerge w:val="restart"/>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总周数</w:t>
            </w:r>
          </w:p>
        </w:tc>
        <w:tc>
          <w:tcPr>
            <w:tcW w:w="1911" w:type="dxa"/>
            <w:gridSpan w:val="2"/>
            <w:vMerge w:val="restart"/>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其  中</w:t>
            </w:r>
          </w:p>
        </w:tc>
        <w:tc>
          <w:tcPr>
            <w:tcW w:w="4766" w:type="dxa"/>
            <w:gridSpan w:val="6"/>
            <w:vAlign w:val="center"/>
          </w:tcPr>
          <w:p>
            <w:pPr>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教学周数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696" w:type="dxa"/>
            <w:vMerge w:val="continue"/>
            <w:vAlign w:val="center"/>
          </w:tcPr>
          <w:p>
            <w:pPr>
              <w:widowControl/>
              <w:ind w:left="-105" w:leftChars="-50" w:right="-105" w:rightChars="-50"/>
              <w:jc w:val="left"/>
              <w:rPr>
                <w:rFonts w:hint="eastAsia" w:ascii="仿宋_GB2312" w:hAnsi="宋体" w:eastAsia="仿宋_GB2312" w:cs="宋体"/>
                <w:kern w:val="0"/>
                <w:sz w:val="18"/>
                <w:szCs w:val="18"/>
              </w:rPr>
            </w:pPr>
          </w:p>
        </w:tc>
        <w:tc>
          <w:tcPr>
            <w:tcW w:w="698" w:type="dxa"/>
            <w:vMerge w:val="continue"/>
            <w:vAlign w:val="center"/>
          </w:tcPr>
          <w:p>
            <w:pPr>
              <w:widowControl/>
              <w:ind w:left="-105" w:leftChars="-50" w:right="-105" w:rightChars="-50"/>
              <w:jc w:val="left"/>
              <w:rPr>
                <w:rFonts w:hint="eastAsia" w:ascii="仿宋_GB2312" w:hAnsi="宋体" w:eastAsia="仿宋_GB2312" w:cs="宋体"/>
                <w:kern w:val="0"/>
                <w:sz w:val="18"/>
                <w:szCs w:val="18"/>
              </w:rPr>
            </w:pPr>
          </w:p>
        </w:tc>
        <w:tc>
          <w:tcPr>
            <w:tcW w:w="1032" w:type="dxa"/>
            <w:vMerge w:val="continue"/>
            <w:vAlign w:val="center"/>
          </w:tcPr>
          <w:p>
            <w:pPr>
              <w:widowControl/>
              <w:ind w:left="-105" w:leftChars="-50" w:right="-105" w:rightChars="-50"/>
              <w:jc w:val="left"/>
              <w:rPr>
                <w:rFonts w:hint="eastAsia" w:ascii="仿宋_GB2312" w:hAnsi="宋体" w:eastAsia="仿宋_GB2312" w:cs="宋体"/>
                <w:kern w:val="0"/>
                <w:sz w:val="18"/>
                <w:szCs w:val="18"/>
              </w:rPr>
            </w:pPr>
          </w:p>
        </w:tc>
        <w:tc>
          <w:tcPr>
            <w:tcW w:w="1911" w:type="dxa"/>
            <w:gridSpan w:val="2"/>
            <w:vMerge w:val="continue"/>
            <w:vAlign w:val="center"/>
          </w:tcPr>
          <w:p>
            <w:pPr>
              <w:widowControl/>
              <w:ind w:left="-105" w:leftChars="-50" w:right="-105" w:rightChars="-50"/>
              <w:jc w:val="left"/>
              <w:rPr>
                <w:rFonts w:hint="eastAsia" w:ascii="仿宋_GB2312" w:hAnsi="宋体" w:eastAsia="仿宋_GB2312" w:cs="宋体"/>
                <w:kern w:val="0"/>
                <w:sz w:val="18"/>
                <w:szCs w:val="18"/>
              </w:rPr>
            </w:pPr>
          </w:p>
        </w:tc>
        <w:tc>
          <w:tcPr>
            <w:tcW w:w="1198" w:type="dxa"/>
            <w:gridSpan w:val="2"/>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课程教学</w:t>
            </w:r>
          </w:p>
        </w:tc>
        <w:tc>
          <w:tcPr>
            <w:tcW w:w="3568" w:type="dxa"/>
            <w:gridSpan w:val="4"/>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实 践 教 育 教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696" w:type="dxa"/>
            <w:vMerge w:val="continue"/>
            <w:vAlign w:val="center"/>
          </w:tcPr>
          <w:p>
            <w:pPr>
              <w:widowControl/>
              <w:ind w:left="-105" w:leftChars="-50" w:right="-105" w:rightChars="-50"/>
              <w:jc w:val="left"/>
              <w:rPr>
                <w:rFonts w:hint="eastAsia" w:ascii="仿宋_GB2312" w:hAnsi="宋体" w:eastAsia="仿宋_GB2312" w:cs="宋体"/>
                <w:kern w:val="0"/>
                <w:sz w:val="18"/>
                <w:szCs w:val="18"/>
              </w:rPr>
            </w:pPr>
          </w:p>
        </w:tc>
        <w:tc>
          <w:tcPr>
            <w:tcW w:w="698" w:type="dxa"/>
            <w:vMerge w:val="continue"/>
            <w:vAlign w:val="center"/>
          </w:tcPr>
          <w:p>
            <w:pPr>
              <w:widowControl/>
              <w:ind w:left="-105" w:leftChars="-50" w:right="-105" w:rightChars="-50"/>
              <w:jc w:val="left"/>
              <w:rPr>
                <w:rFonts w:hint="eastAsia" w:ascii="仿宋_GB2312" w:hAnsi="宋体" w:eastAsia="仿宋_GB2312" w:cs="宋体"/>
                <w:kern w:val="0"/>
                <w:sz w:val="18"/>
                <w:szCs w:val="18"/>
              </w:rPr>
            </w:pPr>
          </w:p>
        </w:tc>
        <w:tc>
          <w:tcPr>
            <w:tcW w:w="1032" w:type="dxa"/>
            <w:vMerge w:val="continue"/>
            <w:vAlign w:val="center"/>
          </w:tcPr>
          <w:p>
            <w:pPr>
              <w:widowControl/>
              <w:ind w:left="-105" w:leftChars="-50" w:right="-105" w:rightChars="-50"/>
              <w:jc w:val="left"/>
              <w:rPr>
                <w:rFonts w:hint="eastAsia" w:ascii="仿宋_GB2312" w:hAnsi="宋体" w:eastAsia="仿宋_GB2312" w:cs="宋体"/>
                <w:kern w:val="0"/>
                <w:sz w:val="18"/>
                <w:szCs w:val="18"/>
              </w:rPr>
            </w:pPr>
          </w:p>
        </w:tc>
        <w:tc>
          <w:tcPr>
            <w:tcW w:w="103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寒暑假</w:t>
            </w:r>
          </w:p>
        </w:tc>
        <w:tc>
          <w:tcPr>
            <w:tcW w:w="87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学期</w:t>
            </w:r>
          </w:p>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周数</w:t>
            </w:r>
          </w:p>
        </w:tc>
        <w:tc>
          <w:tcPr>
            <w:tcW w:w="675"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课堂</w:t>
            </w:r>
          </w:p>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教学</w:t>
            </w:r>
          </w:p>
        </w:tc>
        <w:tc>
          <w:tcPr>
            <w:tcW w:w="523"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学期</w:t>
            </w:r>
          </w:p>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总结</w:t>
            </w:r>
          </w:p>
        </w:tc>
        <w:tc>
          <w:tcPr>
            <w:tcW w:w="83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课程</w:t>
            </w:r>
          </w:p>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实践</w:t>
            </w:r>
          </w:p>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见习</w:t>
            </w:r>
          </w:p>
        </w:tc>
        <w:tc>
          <w:tcPr>
            <w:tcW w:w="79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教育</w:t>
            </w:r>
          </w:p>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专业</w:t>
            </w:r>
          </w:p>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实习</w:t>
            </w:r>
          </w:p>
        </w:tc>
        <w:tc>
          <w:tcPr>
            <w:tcW w:w="841"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毕业</w:t>
            </w:r>
          </w:p>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设计</w:t>
            </w:r>
          </w:p>
        </w:tc>
        <w:tc>
          <w:tcPr>
            <w:tcW w:w="1096"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军事</w:t>
            </w:r>
          </w:p>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96" w:type="dxa"/>
            <w:vMerge w:val="restart"/>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w:t>
            </w:r>
          </w:p>
          <w:p>
            <w:pPr>
              <w:widowControl/>
              <w:ind w:right="-105" w:rightChars="-50"/>
              <w:jc w:val="center"/>
              <w:rPr>
                <w:rFonts w:hint="eastAsia" w:ascii="仿宋_GB2312" w:hAnsi="宋体" w:eastAsia="仿宋_GB2312" w:cs="宋体"/>
                <w:kern w:val="0"/>
                <w:sz w:val="18"/>
                <w:szCs w:val="18"/>
              </w:rPr>
            </w:pPr>
          </w:p>
        </w:tc>
        <w:tc>
          <w:tcPr>
            <w:tcW w:w="698"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32" w:type="dxa"/>
            <w:vMerge w:val="restart"/>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52</w:t>
            </w:r>
          </w:p>
        </w:tc>
        <w:tc>
          <w:tcPr>
            <w:tcW w:w="103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7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675"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16</w:t>
            </w:r>
          </w:p>
        </w:tc>
        <w:tc>
          <w:tcPr>
            <w:tcW w:w="523"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83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79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841"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96"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96" w:type="dxa"/>
            <w:vMerge w:val="continue"/>
            <w:vAlign w:val="center"/>
          </w:tcPr>
          <w:p>
            <w:pPr>
              <w:widowControl/>
              <w:ind w:left="-105" w:leftChars="-50" w:right="-105" w:rightChars="-50"/>
              <w:jc w:val="left"/>
              <w:rPr>
                <w:rFonts w:hint="eastAsia" w:ascii="仿宋_GB2312" w:hAnsi="宋体" w:eastAsia="仿宋_GB2312" w:cs="宋体"/>
                <w:kern w:val="0"/>
                <w:sz w:val="18"/>
                <w:szCs w:val="18"/>
              </w:rPr>
            </w:pPr>
          </w:p>
        </w:tc>
        <w:tc>
          <w:tcPr>
            <w:tcW w:w="698"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32" w:type="dxa"/>
            <w:vMerge w:val="continue"/>
            <w:vAlign w:val="center"/>
          </w:tcPr>
          <w:p>
            <w:pPr>
              <w:widowControl/>
              <w:ind w:left="-105" w:leftChars="-50" w:right="-105" w:rightChars="-50"/>
              <w:jc w:val="left"/>
              <w:rPr>
                <w:rFonts w:hint="eastAsia" w:ascii="仿宋_GB2312" w:hAnsi="宋体" w:eastAsia="仿宋_GB2312" w:cs="宋体"/>
                <w:kern w:val="0"/>
                <w:sz w:val="18"/>
                <w:szCs w:val="18"/>
              </w:rPr>
            </w:pPr>
          </w:p>
        </w:tc>
        <w:tc>
          <w:tcPr>
            <w:tcW w:w="103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7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675"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w:t>
            </w:r>
          </w:p>
        </w:tc>
        <w:tc>
          <w:tcPr>
            <w:tcW w:w="523"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83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79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841"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96"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696" w:type="dxa"/>
            <w:vMerge w:val="restart"/>
            <w:vAlign w:val="center"/>
          </w:tcPr>
          <w:p>
            <w:pPr>
              <w:widowControl/>
              <w:ind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二</w:t>
            </w:r>
          </w:p>
        </w:tc>
        <w:tc>
          <w:tcPr>
            <w:tcW w:w="698"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32" w:type="dxa"/>
            <w:vMerge w:val="restart"/>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52</w:t>
            </w:r>
          </w:p>
        </w:tc>
        <w:tc>
          <w:tcPr>
            <w:tcW w:w="103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7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675"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w:t>
            </w:r>
          </w:p>
        </w:tc>
        <w:tc>
          <w:tcPr>
            <w:tcW w:w="523"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83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79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841" w:type="dxa"/>
            <w:vAlign w:val="center"/>
          </w:tcPr>
          <w:p>
            <w:pPr>
              <w:widowControl/>
              <w:ind w:left="-105" w:leftChars="-50" w:right="-105" w:rightChars="-50"/>
              <w:jc w:val="center"/>
              <w:rPr>
                <w:rFonts w:hint="eastAsia" w:ascii="仿宋_GB2312" w:hAnsi="宋体" w:eastAsia="仿宋_GB2312" w:cs="宋体"/>
                <w:kern w:val="0"/>
                <w:sz w:val="18"/>
                <w:szCs w:val="18"/>
              </w:rPr>
            </w:pPr>
          </w:p>
        </w:tc>
        <w:tc>
          <w:tcPr>
            <w:tcW w:w="1096"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96" w:type="dxa"/>
            <w:vMerge w:val="continue"/>
            <w:vAlign w:val="center"/>
          </w:tcPr>
          <w:p>
            <w:pPr>
              <w:widowControl/>
              <w:ind w:left="-105" w:leftChars="-50" w:right="-105" w:rightChars="-50"/>
              <w:jc w:val="left"/>
              <w:rPr>
                <w:rFonts w:hint="eastAsia" w:ascii="仿宋_GB2312" w:hAnsi="宋体" w:eastAsia="仿宋_GB2312" w:cs="宋体"/>
                <w:kern w:val="0"/>
                <w:sz w:val="18"/>
                <w:szCs w:val="18"/>
              </w:rPr>
            </w:pPr>
          </w:p>
        </w:tc>
        <w:tc>
          <w:tcPr>
            <w:tcW w:w="698"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32" w:type="dxa"/>
            <w:vMerge w:val="continue"/>
            <w:vAlign w:val="center"/>
          </w:tcPr>
          <w:p>
            <w:pPr>
              <w:widowControl/>
              <w:ind w:left="-105" w:leftChars="-50" w:right="-105" w:rightChars="-50"/>
              <w:jc w:val="left"/>
              <w:rPr>
                <w:rFonts w:hint="eastAsia" w:ascii="仿宋_GB2312" w:hAnsi="宋体" w:eastAsia="仿宋_GB2312" w:cs="宋体"/>
                <w:kern w:val="0"/>
                <w:sz w:val="18"/>
                <w:szCs w:val="18"/>
              </w:rPr>
            </w:pPr>
          </w:p>
        </w:tc>
        <w:tc>
          <w:tcPr>
            <w:tcW w:w="103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7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675"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w:t>
            </w:r>
          </w:p>
        </w:tc>
        <w:tc>
          <w:tcPr>
            <w:tcW w:w="523"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83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79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841" w:type="dxa"/>
            <w:vAlign w:val="center"/>
          </w:tcPr>
          <w:p>
            <w:pPr>
              <w:widowControl/>
              <w:ind w:left="-105" w:leftChars="-50" w:right="-105" w:rightChars="-50"/>
              <w:jc w:val="center"/>
              <w:rPr>
                <w:rFonts w:hint="eastAsia" w:ascii="仿宋_GB2312" w:hAnsi="宋体" w:eastAsia="仿宋_GB2312" w:cs="宋体"/>
                <w:kern w:val="0"/>
                <w:sz w:val="18"/>
                <w:szCs w:val="18"/>
              </w:rPr>
            </w:pPr>
          </w:p>
        </w:tc>
        <w:tc>
          <w:tcPr>
            <w:tcW w:w="1096"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96" w:type="dxa"/>
            <w:vMerge w:val="restart"/>
            <w:vAlign w:val="center"/>
          </w:tcPr>
          <w:p>
            <w:pPr>
              <w:widowControl/>
              <w:ind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w:t>
            </w:r>
          </w:p>
        </w:tc>
        <w:tc>
          <w:tcPr>
            <w:tcW w:w="698"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32" w:type="dxa"/>
            <w:vMerge w:val="restart"/>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52</w:t>
            </w:r>
          </w:p>
        </w:tc>
        <w:tc>
          <w:tcPr>
            <w:tcW w:w="103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7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675"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17</w:t>
            </w:r>
          </w:p>
        </w:tc>
        <w:tc>
          <w:tcPr>
            <w:tcW w:w="523"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83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92" w:type="dxa"/>
            <w:vAlign w:val="center"/>
          </w:tcPr>
          <w:p>
            <w:pPr>
              <w:widowControl/>
              <w:ind w:left="-105" w:leftChars="-50" w:right="-105" w:rightChars="-50"/>
              <w:jc w:val="center"/>
              <w:rPr>
                <w:rFonts w:hint="eastAsia" w:ascii="仿宋_GB2312" w:hAnsi="宋体" w:eastAsia="仿宋_GB2312" w:cs="宋体"/>
                <w:kern w:val="0"/>
                <w:sz w:val="18"/>
                <w:szCs w:val="18"/>
              </w:rPr>
            </w:pPr>
          </w:p>
        </w:tc>
        <w:tc>
          <w:tcPr>
            <w:tcW w:w="841" w:type="dxa"/>
            <w:vAlign w:val="center"/>
          </w:tcPr>
          <w:p>
            <w:pPr>
              <w:widowControl/>
              <w:ind w:left="-105" w:leftChars="-50" w:right="-105" w:rightChars="-50"/>
              <w:jc w:val="center"/>
              <w:rPr>
                <w:rFonts w:hint="eastAsia" w:ascii="仿宋_GB2312" w:hAnsi="宋体" w:eastAsia="仿宋_GB2312" w:cs="宋体"/>
                <w:kern w:val="0"/>
                <w:sz w:val="18"/>
                <w:szCs w:val="18"/>
              </w:rPr>
            </w:pPr>
          </w:p>
        </w:tc>
        <w:tc>
          <w:tcPr>
            <w:tcW w:w="1096"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96" w:type="dxa"/>
            <w:vMerge w:val="continue"/>
            <w:vAlign w:val="center"/>
          </w:tcPr>
          <w:p>
            <w:pPr>
              <w:widowControl/>
              <w:ind w:left="-105" w:leftChars="-50" w:right="-105" w:rightChars="-50"/>
              <w:jc w:val="center"/>
              <w:rPr>
                <w:rFonts w:hint="eastAsia" w:ascii="仿宋_GB2312" w:hAnsi="宋体" w:eastAsia="仿宋_GB2312" w:cs="宋体"/>
                <w:kern w:val="0"/>
                <w:sz w:val="18"/>
                <w:szCs w:val="18"/>
              </w:rPr>
            </w:pPr>
          </w:p>
        </w:tc>
        <w:tc>
          <w:tcPr>
            <w:tcW w:w="698"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32" w:type="dxa"/>
            <w:vMerge w:val="continue"/>
            <w:vAlign w:val="center"/>
          </w:tcPr>
          <w:p>
            <w:pPr>
              <w:widowControl/>
              <w:ind w:left="-105" w:leftChars="-50" w:right="-105" w:rightChars="-50"/>
              <w:jc w:val="center"/>
              <w:rPr>
                <w:rFonts w:hint="eastAsia" w:ascii="仿宋_GB2312" w:hAnsi="宋体" w:eastAsia="仿宋_GB2312" w:cs="宋体"/>
                <w:kern w:val="0"/>
                <w:sz w:val="18"/>
                <w:szCs w:val="18"/>
              </w:rPr>
            </w:pPr>
          </w:p>
        </w:tc>
        <w:tc>
          <w:tcPr>
            <w:tcW w:w="103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7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675"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523"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839" w:type="dxa"/>
            <w:vAlign w:val="center"/>
          </w:tcPr>
          <w:p>
            <w:pPr>
              <w:widowControl/>
              <w:ind w:left="-105" w:leftChars="-50" w:right="-105" w:rightChars="-50"/>
              <w:jc w:val="center"/>
              <w:rPr>
                <w:rFonts w:hint="eastAsia" w:ascii="仿宋_GB2312" w:hAnsi="宋体" w:eastAsia="仿宋_GB2312" w:cs="宋体"/>
                <w:kern w:val="0"/>
                <w:sz w:val="18"/>
                <w:szCs w:val="18"/>
              </w:rPr>
            </w:pPr>
          </w:p>
        </w:tc>
        <w:tc>
          <w:tcPr>
            <w:tcW w:w="79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　　</w:t>
            </w:r>
          </w:p>
        </w:tc>
        <w:tc>
          <w:tcPr>
            <w:tcW w:w="841"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96"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394" w:type="dxa"/>
            <w:gridSpan w:val="2"/>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小计</w:t>
            </w:r>
          </w:p>
        </w:tc>
        <w:tc>
          <w:tcPr>
            <w:tcW w:w="103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156</w:t>
            </w:r>
          </w:p>
        </w:tc>
        <w:tc>
          <w:tcPr>
            <w:tcW w:w="103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87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675"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84</w:t>
            </w:r>
          </w:p>
        </w:tc>
        <w:tc>
          <w:tcPr>
            <w:tcW w:w="523"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3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9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w:t>
            </w:r>
          </w:p>
        </w:tc>
        <w:tc>
          <w:tcPr>
            <w:tcW w:w="841"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96"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394" w:type="dxa"/>
            <w:gridSpan w:val="2"/>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合计</w:t>
            </w:r>
          </w:p>
        </w:tc>
        <w:tc>
          <w:tcPr>
            <w:tcW w:w="103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156</w:t>
            </w:r>
          </w:p>
        </w:tc>
        <w:tc>
          <w:tcPr>
            <w:tcW w:w="1032"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879" w:type="dxa"/>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1198" w:type="dxa"/>
            <w:gridSpan w:val="2"/>
            <w:vAlign w:val="center"/>
          </w:tcPr>
          <w:p>
            <w:pPr>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94</w:t>
            </w:r>
          </w:p>
        </w:tc>
        <w:tc>
          <w:tcPr>
            <w:tcW w:w="3568" w:type="dxa"/>
            <w:gridSpan w:val="4"/>
            <w:vAlign w:val="center"/>
          </w:tcPr>
          <w:p>
            <w:pPr>
              <w:widowControl/>
              <w:ind w:left="-105" w:leftChars="-50" w:right="-105" w:right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26</w:t>
            </w:r>
          </w:p>
        </w:tc>
      </w:tr>
    </w:tbl>
    <w:p>
      <w:pPr>
        <w:rPr>
          <w:rFonts w:ascii="宋体" w:hAnsi="宋体" w:cs="宋体"/>
          <w:sz w:val="24"/>
        </w:rPr>
      </w:pPr>
      <w:r>
        <w:rPr>
          <w:rFonts w:hint="eastAsia" w:ascii="宋体" w:hAnsi="宋体" w:cs="宋体"/>
          <w:sz w:val="24"/>
        </w:rPr>
        <w:t xml:space="preserve"> </w:t>
      </w:r>
    </w:p>
    <w:p>
      <w:pPr>
        <w:ind w:firstLine="422" w:firstLineChars="200"/>
        <w:rPr>
          <w:rFonts w:ascii="仿宋_GB2312" w:hAnsi="宋体" w:eastAsia="仿宋_GB2312" w:cs="宋体"/>
          <w:b/>
          <w:szCs w:val="21"/>
        </w:rPr>
      </w:pPr>
      <w:r>
        <w:rPr>
          <w:rFonts w:hint="eastAsia" w:ascii="仿宋_GB2312" w:hAnsi="宋体" w:eastAsia="仿宋_GB2312" w:cs="宋体"/>
          <w:b/>
          <w:szCs w:val="21"/>
        </w:rPr>
        <w:t>（二）教学环节进程表</w:t>
      </w:r>
    </w:p>
    <w:tbl>
      <w:tblPr>
        <w:tblStyle w:val="21"/>
        <w:tblW w:w="9286" w:type="dxa"/>
        <w:jc w:val="center"/>
        <w:tblInd w:w="0" w:type="dxa"/>
        <w:tblLayout w:type="fixed"/>
        <w:tblCellMar>
          <w:top w:w="0" w:type="dxa"/>
          <w:left w:w="108" w:type="dxa"/>
          <w:bottom w:w="0" w:type="dxa"/>
          <w:right w:w="108" w:type="dxa"/>
        </w:tblCellMar>
      </w:tblPr>
      <w:tblGrid>
        <w:gridCol w:w="755"/>
        <w:gridCol w:w="356"/>
        <w:gridCol w:w="356"/>
        <w:gridCol w:w="356"/>
        <w:gridCol w:w="356"/>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tblGrid>
      <w:tr>
        <w:tblPrEx>
          <w:tblLayout w:type="fixed"/>
          <w:tblCellMar>
            <w:top w:w="0" w:type="dxa"/>
            <w:left w:w="108" w:type="dxa"/>
            <w:bottom w:w="0" w:type="dxa"/>
            <w:right w:w="108" w:type="dxa"/>
          </w:tblCellMar>
        </w:tblPrEx>
        <w:trPr>
          <w:trHeight w:val="628" w:hRule="atLeast"/>
          <w:jc w:val="center"/>
        </w:trPr>
        <w:tc>
          <w:tcPr>
            <w:tcW w:w="755" w:type="dxa"/>
            <w:tcBorders>
              <w:top w:val="single" w:color="auto" w:sz="8" w:space="0"/>
              <w:left w:val="single" w:color="auto" w:sz="8" w:space="0"/>
              <w:bottom w:val="single" w:color="auto" w:sz="8" w:space="0"/>
              <w:right w:val="single" w:color="auto" w:sz="8" w:space="0"/>
              <w:tl2br w:val="single" w:color="auto" w:sz="4" w:space="0"/>
            </w:tcBorders>
            <w:vAlign w:val="center"/>
          </w:tcPr>
          <w:p>
            <w:pPr>
              <w:ind w:right="600" w:firstLine="360" w:firstLineChars="200"/>
              <w:rPr>
                <w:rFonts w:hint="eastAsia" w:ascii="仿宋_GB2312" w:hAnsi="宋体" w:eastAsia="仿宋_GB2312"/>
                <w:sz w:val="18"/>
                <w:szCs w:val="18"/>
              </w:rPr>
            </w:pPr>
            <w:r>
              <w:rPr>
                <w:rFonts w:hint="eastAsia" w:ascii="仿宋_GB2312" w:hAnsi="宋体" w:eastAsia="仿宋_GB2312"/>
                <w:sz w:val="18"/>
                <w:szCs w:val="18"/>
              </w:rPr>
              <w:t>周</w:t>
            </w:r>
          </w:p>
          <w:p>
            <w:pPr>
              <w:ind w:left="35" w:leftChars="-44" w:hanging="127" w:hangingChars="71"/>
              <w:rPr>
                <w:rFonts w:hint="eastAsia" w:ascii="仿宋_GB2312" w:hAnsi="宋体" w:eastAsia="仿宋_GB2312"/>
                <w:sz w:val="18"/>
                <w:szCs w:val="18"/>
              </w:rPr>
            </w:pPr>
            <w:r>
              <w:rPr>
                <w:rFonts w:hint="eastAsia" w:ascii="仿宋_GB2312" w:hAnsi="宋体" w:eastAsia="仿宋_GB2312"/>
                <w:sz w:val="18"/>
                <w:szCs w:val="18"/>
              </w:rPr>
              <w:t>学期</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1</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2</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3</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4</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5</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6</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7</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8</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9</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10</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11</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12</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13</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14</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15</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16</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17</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18</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19</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20</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21</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22</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23</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24</w:t>
            </w:r>
          </w:p>
        </w:tc>
      </w:tr>
      <w:tr>
        <w:tblPrEx>
          <w:tblLayout w:type="fixed"/>
          <w:tblCellMar>
            <w:top w:w="0" w:type="dxa"/>
            <w:left w:w="108" w:type="dxa"/>
            <w:bottom w:w="0" w:type="dxa"/>
            <w:right w:w="108" w:type="dxa"/>
          </w:tblCellMar>
        </w:tblPrEx>
        <w:trPr>
          <w:trHeight w:val="310"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一</w:t>
            </w:r>
          </w:p>
        </w:tc>
        <w:tc>
          <w:tcPr>
            <w:tcW w:w="356" w:type="dxa"/>
            <w:tcBorders>
              <w:top w:val="single" w:color="auto" w:sz="8" w:space="0"/>
              <w:left w:val="single" w:color="auto" w:sz="8" w:space="0"/>
              <w:bottom w:val="single" w:color="auto" w:sz="8" w:space="0"/>
              <w:right w:val="single" w:color="auto" w:sz="8" w:space="0"/>
              <w:tr2bl w:val="single" w:color="auto" w:sz="4"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V</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V</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321"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二</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310"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三</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269"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四</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r>
      <w:tr>
        <w:tblPrEx>
          <w:tblLayout w:type="fixed"/>
        </w:tblPrEx>
        <w:trPr>
          <w:trHeight w:val="310"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五</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r>
      <w:tr>
        <w:tblPrEx>
          <w:tblLayout w:type="fixed"/>
          <w:tblCellMar>
            <w:top w:w="0" w:type="dxa"/>
            <w:left w:w="108" w:type="dxa"/>
            <w:bottom w:w="0" w:type="dxa"/>
            <w:right w:w="108" w:type="dxa"/>
          </w:tblCellMar>
        </w:tblPrEx>
        <w:trPr>
          <w:trHeight w:val="310" w:hRule="atLeast"/>
          <w:jc w:val="center"/>
        </w:trPr>
        <w:tc>
          <w:tcPr>
            <w:tcW w:w="7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六</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6"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　</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c>
          <w:tcPr>
            <w:tcW w:w="355" w:type="dxa"/>
            <w:tcBorders>
              <w:top w:val="single" w:color="auto" w:sz="8" w:space="0"/>
              <w:left w:val="single" w:color="auto" w:sz="8" w:space="0"/>
              <w:bottom w:val="single" w:color="auto" w:sz="8" w:space="0"/>
              <w:right w:val="single" w:color="auto" w:sz="8" w:space="0"/>
            </w:tcBorders>
            <w:vAlign w:val="center"/>
          </w:tcPr>
          <w:p>
            <w:pPr>
              <w:rPr>
                <w:rFonts w:hint="eastAsia" w:ascii="仿宋_GB2312" w:hAnsi="宋体" w:eastAsia="仿宋_GB2312"/>
                <w:sz w:val="18"/>
                <w:szCs w:val="18"/>
              </w:rPr>
            </w:pPr>
            <w:r>
              <w:rPr>
                <w:rFonts w:hint="eastAsia" w:ascii="仿宋_GB2312" w:hAnsi="宋体" w:eastAsia="仿宋_GB2312"/>
                <w:sz w:val="18"/>
                <w:szCs w:val="18"/>
              </w:rPr>
              <w:t>≡</w:t>
            </w:r>
          </w:p>
        </w:tc>
      </w:tr>
    </w:tbl>
    <w:p>
      <w:pPr>
        <w:ind w:left="1065" w:leftChars="207" w:hanging="630" w:hangingChars="300"/>
        <w:rPr>
          <w:rFonts w:ascii="仿宋_GB2312" w:eastAsia="仿宋_GB2312"/>
          <w:szCs w:val="21"/>
        </w:rPr>
      </w:pPr>
      <w:r>
        <w:rPr>
          <w:rFonts w:hint="eastAsia" w:ascii="仿宋_GB2312" w:eastAsia="仿宋_GB2312"/>
          <w:szCs w:val="21"/>
        </w:rPr>
        <w:t>图例：   　V军事理论与训练　</w:t>
      </w:r>
      <w:r>
        <w:rPr>
          <w:rFonts w:hint="eastAsia" w:ascii="仿宋_GB2312" w:hAnsi="宋体" w:eastAsia="仿宋_GB2312" w:cs="宋体"/>
          <w:szCs w:val="21"/>
        </w:rPr>
        <w:t xml:space="preserve">  </w:t>
      </w:r>
      <w:r>
        <w:rPr>
          <w:rFonts w:hint="eastAsia" w:ascii="仿宋_GB2312" w:eastAsia="仿宋_GB2312"/>
          <w:szCs w:val="21"/>
        </w:rPr>
        <w:t>　　：学期总结　   / 见习、实习、研习　</w:t>
      </w:r>
    </w:p>
    <w:p>
      <w:pPr>
        <w:rPr>
          <w:rFonts w:ascii="宋体" w:hAnsi="宋体" w:cs="宋体"/>
          <w:b/>
          <w:sz w:val="24"/>
        </w:rPr>
      </w:pPr>
      <w:r>
        <w:rPr>
          <w:rFonts w:hint="eastAsia" w:ascii="仿宋_GB2312" w:eastAsia="仿宋_GB2312"/>
          <w:szCs w:val="21"/>
        </w:rPr>
        <w:t>　            □毕业实习　≡ 假期　     ＋</w:t>
      </w:r>
      <w:r>
        <w:rPr>
          <w:rFonts w:hint="eastAsia" w:ascii="仿宋_GB2312" w:hAnsi="宋体" w:eastAsia="仿宋_GB2312" w:cs="宋体"/>
          <w:kern w:val="0"/>
          <w:szCs w:val="21"/>
        </w:rPr>
        <w:t xml:space="preserve">毕业设计  </w:t>
      </w:r>
    </w:p>
    <w:p>
      <w:pPr>
        <w:rPr>
          <w:rFonts w:ascii="宋体" w:hAnsi="宋体" w:cs="宋体"/>
          <w:b/>
          <w:sz w:val="24"/>
        </w:rPr>
      </w:pPr>
    </w:p>
    <w:p>
      <w:pPr>
        <w:rPr>
          <w:rFonts w:ascii="仿宋_GB2312" w:hAnsi="宋体" w:eastAsia="仿宋_GB2312" w:cs="宋体"/>
          <w:b/>
          <w:szCs w:val="21"/>
        </w:rPr>
      </w:pPr>
      <w:r>
        <w:rPr>
          <w:rFonts w:hint="eastAsia" w:ascii="仿宋_GB2312" w:hAnsi="宋体" w:eastAsia="仿宋_GB2312" w:cs="宋体"/>
          <w:b/>
          <w:szCs w:val="21"/>
        </w:rPr>
        <w:t>（三）课程及实践教学环节学时学分表</w:t>
      </w:r>
    </w:p>
    <w:tbl>
      <w:tblPr>
        <w:tblStyle w:val="21"/>
        <w:tblW w:w="9985" w:type="dxa"/>
        <w:jc w:val="center"/>
        <w:tblInd w:w="0" w:type="dxa"/>
        <w:tblLayout w:type="fixed"/>
        <w:tblCellMar>
          <w:top w:w="0" w:type="dxa"/>
          <w:left w:w="108" w:type="dxa"/>
          <w:bottom w:w="0" w:type="dxa"/>
          <w:right w:w="108" w:type="dxa"/>
        </w:tblCellMar>
      </w:tblPr>
      <w:tblGrid>
        <w:gridCol w:w="482"/>
        <w:gridCol w:w="1103"/>
        <w:gridCol w:w="7"/>
        <w:gridCol w:w="1610"/>
        <w:gridCol w:w="605"/>
        <w:gridCol w:w="534"/>
        <w:gridCol w:w="510"/>
        <w:gridCol w:w="480"/>
        <w:gridCol w:w="493"/>
        <w:gridCol w:w="446"/>
        <w:gridCol w:w="425"/>
        <w:gridCol w:w="652"/>
        <w:gridCol w:w="735"/>
        <w:gridCol w:w="688"/>
        <w:gridCol w:w="426"/>
        <w:gridCol w:w="425"/>
        <w:gridCol w:w="364"/>
      </w:tblGrid>
      <w:tr>
        <w:tblPrEx>
          <w:tblLayout w:type="fixed"/>
          <w:tblCellMar>
            <w:top w:w="0" w:type="dxa"/>
            <w:left w:w="108" w:type="dxa"/>
            <w:bottom w:w="0" w:type="dxa"/>
            <w:right w:w="108" w:type="dxa"/>
          </w:tblCellMar>
        </w:tblPrEx>
        <w:trPr>
          <w:trHeight w:val="404" w:hRule="atLeast"/>
          <w:jc w:val="center"/>
        </w:trPr>
        <w:tc>
          <w:tcPr>
            <w:tcW w:w="4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课程类型</w:t>
            </w:r>
          </w:p>
        </w:tc>
        <w:tc>
          <w:tcPr>
            <w:tcW w:w="11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课程编码</w:t>
            </w:r>
          </w:p>
        </w:tc>
        <w:tc>
          <w:tcPr>
            <w:tcW w:w="161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课程名称</w:t>
            </w:r>
          </w:p>
        </w:tc>
        <w:tc>
          <w:tcPr>
            <w:tcW w:w="6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学分</w:t>
            </w:r>
          </w:p>
        </w:tc>
        <w:tc>
          <w:tcPr>
            <w:tcW w:w="2888"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学期分布和周学时</w:t>
            </w:r>
          </w:p>
        </w:tc>
        <w:tc>
          <w:tcPr>
            <w:tcW w:w="2075"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总课时数及比例</w:t>
            </w:r>
          </w:p>
        </w:tc>
        <w:tc>
          <w:tcPr>
            <w:tcW w:w="851"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考核方式</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备注</w:t>
            </w:r>
          </w:p>
        </w:tc>
      </w:tr>
      <w:tr>
        <w:tblPrEx>
          <w:tblLayout w:type="fixed"/>
        </w:tblPrEx>
        <w:trPr>
          <w:trHeight w:val="203"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6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60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534"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10"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493"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446"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652"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总课时</w:t>
            </w:r>
          </w:p>
        </w:tc>
        <w:tc>
          <w:tcPr>
            <w:tcW w:w="735"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理论</w:t>
            </w:r>
          </w:p>
        </w:tc>
        <w:tc>
          <w:tcPr>
            <w:tcW w:w="688"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实践</w:t>
            </w:r>
          </w:p>
        </w:tc>
        <w:tc>
          <w:tcPr>
            <w:tcW w:w="426"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考试</w:t>
            </w: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考查</w:t>
            </w:r>
          </w:p>
        </w:tc>
        <w:tc>
          <w:tcPr>
            <w:tcW w:w="364"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41" w:hRule="atLeast"/>
          <w:jc w:val="center"/>
        </w:trPr>
        <w:tc>
          <w:tcPr>
            <w:tcW w:w="482"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公共必修</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eastAsia="仿宋_GB2312" w:hAnsiTheme="minorEastAsia"/>
                <w:kern w:val="0"/>
                <w:sz w:val="18"/>
                <w:szCs w:val="18"/>
              </w:rPr>
            </w:pPr>
            <w:r>
              <w:rPr>
                <w:rFonts w:hint="eastAsia" w:ascii="仿宋_GB2312" w:eastAsia="仿宋_GB2312" w:hAnsiTheme="minorEastAsia"/>
                <w:sz w:val="18"/>
                <w:szCs w:val="18"/>
              </w:rPr>
              <w:t>A031101</w:t>
            </w:r>
          </w:p>
        </w:tc>
        <w:tc>
          <w:tcPr>
            <w:tcW w:w="1617" w:type="dxa"/>
            <w:gridSpan w:val="2"/>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思想道德修养与法律(含师德）</w:t>
            </w:r>
          </w:p>
        </w:tc>
        <w:tc>
          <w:tcPr>
            <w:tcW w:w="605"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3</w:t>
            </w:r>
          </w:p>
        </w:tc>
        <w:tc>
          <w:tcPr>
            <w:tcW w:w="534"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2</w:t>
            </w:r>
          </w:p>
        </w:tc>
        <w:tc>
          <w:tcPr>
            <w:tcW w:w="510"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80"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93"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46"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652"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51 </w:t>
            </w:r>
          </w:p>
        </w:tc>
        <w:tc>
          <w:tcPr>
            <w:tcW w:w="735" w:type="dxa"/>
            <w:tcBorders>
              <w:top w:val="single" w:color="auto" w:sz="4" w:space="0"/>
              <w:left w:val="nil"/>
              <w:bottom w:val="single" w:color="auto" w:sz="4" w:space="0"/>
              <w:right w:val="single" w:color="auto" w:sz="4" w:space="0"/>
            </w:tcBorders>
            <w:shd w:val="clear" w:color="auto" w:fill="auto"/>
            <w:noWrap/>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34 </w:t>
            </w:r>
          </w:p>
        </w:tc>
        <w:tc>
          <w:tcPr>
            <w:tcW w:w="688"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17 </w:t>
            </w:r>
          </w:p>
        </w:tc>
        <w:tc>
          <w:tcPr>
            <w:tcW w:w="426"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364"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r>
      <w:tr>
        <w:tblPrEx>
          <w:tblLayout w:type="fixed"/>
          <w:tblCellMar>
            <w:top w:w="0" w:type="dxa"/>
            <w:left w:w="108" w:type="dxa"/>
            <w:bottom w:w="0" w:type="dxa"/>
            <w:right w:w="108" w:type="dxa"/>
          </w:tblCellMar>
        </w:tblPrEx>
        <w:trPr>
          <w:trHeight w:val="363"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A031102</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毛泽东思想和“中国特色社会主义理论体系概论</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4</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2</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2</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68 </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34 </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34 </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363"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A031103</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形势与政策</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17 </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10 </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7 </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363"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A031104</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大学英语</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8</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2</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2</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2</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136 </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120 </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16 </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363"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A031105</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大学语文</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4</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2</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68 </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50 </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18 </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363"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A031106</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军事理论</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2</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17 </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10 </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7 </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363"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A031107</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计算机基础知识</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4</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2</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xml:space="preserve">68 </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xml:space="preserve">34 </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xml:space="preserve">34 </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363"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A031108</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大学生心理健康教育</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17 </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10 </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7 </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3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A031109</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大学体育</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8</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0</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0</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136</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sz w:val="18"/>
                <w:szCs w:val="18"/>
              </w:rPr>
            </w:pPr>
            <w:r>
              <w:rPr>
                <w:rFonts w:hint="eastAsia" w:ascii="仿宋_GB2312" w:eastAsia="仿宋_GB2312"/>
                <w:sz w:val="18"/>
                <w:szCs w:val="18"/>
              </w:rPr>
              <w:t>85</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51</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3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A031110</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职业发展规划</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17 </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10 </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7 </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3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A031111</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就业指导</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17 </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10 </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7 </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3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A031112</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创新创业教育</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1</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17 </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10 </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 xml:space="preserve">7 </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213"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27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应修学分小计</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38</w:t>
            </w:r>
          </w:p>
        </w:tc>
        <w:tc>
          <w:tcPr>
            <w:tcW w:w="534"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16</w:t>
            </w:r>
          </w:p>
        </w:tc>
        <w:tc>
          <w:tcPr>
            <w:tcW w:w="510"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8</w:t>
            </w:r>
          </w:p>
        </w:tc>
        <w:tc>
          <w:tcPr>
            <w:tcW w:w="480"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6</w:t>
            </w:r>
          </w:p>
        </w:tc>
        <w:tc>
          <w:tcPr>
            <w:tcW w:w="493"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6</w:t>
            </w:r>
          </w:p>
        </w:tc>
        <w:tc>
          <w:tcPr>
            <w:tcW w:w="446"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0</w:t>
            </w:r>
          </w:p>
        </w:tc>
        <w:tc>
          <w:tcPr>
            <w:tcW w:w="652"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646</w:t>
            </w:r>
          </w:p>
        </w:tc>
        <w:tc>
          <w:tcPr>
            <w:tcW w:w="735"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342</w:t>
            </w:r>
          </w:p>
        </w:tc>
        <w:tc>
          <w:tcPr>
            <w:tcW w:w="688"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304</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436" w:hRule="atLeast"/>
          <w:jc w:val="center"/>
        </w:trPr>
        <w:tc>
          <w:tcPr>
            <w:tcW w:w="482"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公共选修</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eastAsia="仿宋_GB2312" w:hAnsiTheme="minorEastAsia"/>
                <w:kern w:val="0"/>
                <w:sz w:val="18"/>
                <w:szCs w:val="18"/>
              </w:rPr>
            </w:pPr>
          </w:p>
        </w:tc>
        <w:tc>
          <w:tcPr>
            <w:tcW w:w="1617" w:type="dxa"/>
            <w:gridSpan w:val="2"/>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人文素养</w:t>
            </w:r>
          </w:p>
        </w:tc>
        <w:tc>
          <w:tcPr>
            <w:tcW w:w="605"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w:t>
            </w:r>
          </w:p>
        </w:tc>
        <w:tc>
          <w:tcPr>
            <w:tcW w:w="534"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510"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80"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w:t>
            </w:r>
          </w:p>
        </w:tc>
        <w:tc>
          <w:tcPr>
            <w:tcW w:w="493"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46"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51</w:t>
            </w:r>
          </w:p>
        </w:tc>
        <w:tc>
          <w:tcPr>
            <w:tcW w:w="735" w:type="dxa"/>
            <w:tcBorders>
              <w:top w:val="single" w:color="auto" w:sz="4" w:space="0"/>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34</w:t>
            </w:r>
          </w:p>
        </w:tc>
        <w:tc>
          <w:tcPr>
            <w:tcW w:w="688"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17</w:t>
            </w:r>
          </w:p>
        </w:tc>
        <w:tc>
          <w:tcPr>
            <w:tcW w:w="426"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C0504D" w:themeColor="accent2"/>
                <w:sz w:val="18"/>
                <w:szCs w:val="18"/>
                <w14:textFill>
                  <w14:solidFill>
                    <w14:schemeClr w14:val="accent2"/>
                  </w14:solidFill>
                </w14:textFill>
              </w:rPr>
            </w:pPr>
            <w:r>
              <w:rPr>
                <w:rFonts w:hint="eastAsia" w:ascii="仿宋_GB2312" w:eastAsia="仿宋_GB2312" w:hAnsiTheme="minorEastAsia"/>
                <w:color w:val="C0504D" w:themeColor="accent2"/>
                <w:sz w:val="18"/>
                <w:szCs w:val="18"/>
                <w14:textFill>
                  <w14:solidFill>
                    <w14:schemeClr w14:val="accent2"/>
                  </w14:solidFill>
                </w14:textFill>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w:t>
            </w:r>
          </w:p>
        </w:tc>
        <w:tc>
          <w:tcPr>
            <w:tcW w:w="3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修满8学分</w:t>
            </w:r>
          </w:p>
        </w:tc>
      </w:tr>
      <w:tr>
        <w:tblPrEx>
          <w:tblLayout w:type="fixed"/>
          <w:tblCellMar>
            <w:top w:w="0" w:type="dxa"/>
            <w:left w:w="108" w:type="dxa"/>
            <w:bottom w:w="0" w:type="dxa"/>
            <w:right w:w="108" w:type="dxa"/>
          </w:tblCellMar>
        </w:tblPrEx>
        <w:trPr>
          <w:trHeight w:val="3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科学素养</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17</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17</w:t>
            </w:r>
          </w:p>
        </w:tc>
        <w:tc>
          <w:tcPr>
            <w:tcW w:w="426"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color w:val="C0504D" w:themeColor="accent2"/>
                <w:kern w:val="0"/>
                <w:sz w:val="18"/>
                <w:szCs w:val="18"/>
                <w14:textFill>
                  <w14:solidFill>
                    <w14:schemeClr w14:val="accent2"/>
                  </w14:solidFill>
                </w14:textFill>
              </w:rPr>
            </w:pPr>
            <w:r>
              <w:rPr>
                <w:rFonts w:hint="eastAsia" w:ascii="仿宋_GB2312" w:eastAsia="仿宋_GB2312" w:hAnsiTheme="minorEastAsia"/>
                <w:color w:val="C0504D" w:themeColor="accent2"/>
                <w:sz w:val="18"/>
                <w:szCs w:val="18"/>
                <w14:textFill>
                  <w14:solidFill>
                    <w14:schemeClr w14:val="accent2"/>
                  </w14:solidFill>
                </w14:textFill>
              </w:rPr>
              <w:t>　</w:t>
            </w: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r>
              <w:rPr>
                <w:rFonts w:hint="eastAsia" w:ascii="仿宋_GB2312" w:eastAsia="仿宋_GB2312" w:hAnsiTheme="minorEastAsia"/>
                <w:color w:val="000000"/>
                <w:sz w:val="18"/>
                <w:szCs w:val="18"/>
              </w:rPr>
              <w:t>√</w:t>
            </w:r>
          </w:p>
        </w:tc>
        <w:tc>
          <w:tcPr>
            <w:tcW w:w="36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3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color w:val="000000"/>
                <w:sz w:val="18"/>
                <w:szCs w:val="18"/>
              </w:rPr>
            </w:pPr>
            <w:r>
              <w:rPr>
                <w:rFonts w:hint="eastAsia" w:ascii="仿宋_GB2312" w:eastAsia="仿宋_GB2312" w:hAnsiTheme="minorEastAsia"/>
                <w:color w:val="000000"/>
                <w:sz w:val="18"/>
                <w:szCs w:val="18"/>
              </w:rPr>
              <w:t>艺术素养</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51</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34</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17</w:t>
            </w:r>
          </w:p>
        </w:tc>
        <w:tc>
          <w:tcPr>
            <w:tcW w:w="426"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color w:val="C0504D" w:themeColor="accent2"/>
                <w:kern w:val="0"/>
                <w:sz w:val="18"/>
                <w:szCs w:val="18"/>
                <w14:textFill>
                  <w14:solidFill>
                    <w14:schemeClr w14:val="accent2"/>
                  </w14:solidFill>
                </w14:textFill>
              </w:rPr>
            </w:pPr>
            <w:r>
              <w:rPr>
                <w:rFonts w:hint="eastAsia" w:ascii="仿宋_GB2312" w:eastAsia="仿宋_GB2312" w:hAnsiTheme="minorEastAsia"/>
                <w:color w:val="C0504D" w:themeColor="accent2"/>
                <w:sz w:val="18"/>
                <w:szCs w:val="18"/>
                <w14:textFill>
                  <w14:solidFill>
                    <w14:schemeClr w14:val="accent2"/>
                  </w14:solidFill>
                </w14:textFill>
              </w:rPr>
              <w:t>　</w:t>
            </w: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r>
              <w:rPr>
                <w:rFonts w:hint="eastAsia" w:ascii="仿宋_GB2312" w:eastAsia="仿宋_GB2312" w:hAnsiTheme="minorEastAsia"/>
                <w:color w:val="000000"/>
                <w:sz w:val="18"/>
                <w:szCs w:val="18"/>
              </w:rPr>
              <w:t>√</w:t>
            </w:r>
          </w:p>
        </w:tc>
        <w:tc>
          <w:tcPr>
            <w:tcW w:w="36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1001"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27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r>
              <w:rPr>
                <w:rFonts w:hint="eastAsia" w:ascii="仿宋_GB2312" w:eastAsia="仿宋_GB2312" w:hAnsiTheme="minorEastAsia"/>
                <w:sz w:val="18"/>
                <w:szCs w:val="18"/>
              </w:rPr>
              <w:t>应修学分小计</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8</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0</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0</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136</w:t>
            </w:r>
          </w:p>
        </w:tc>
        <w:tc>
          <w:tcPr>
            <w:tcW w:w="73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85</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51</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r>
              <w:rPr>
                <w:rFonts w:hint="eastAsia" w:ascii="仿宋_GB2312" w:eastAsia="仿宋_GB2312" w:hAnsiTheme="minorEastAsia"/>
                <w:sz w:val="18"/>
                <w:szCs w:val="18"/>
              </w:rPr>
              <w:t>　</w:t>
            </w:r>
          </w:p>
        </w:tc>
        <w:tc>
          <w:tcPr>
            <w:tcW w:w="36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213" w:hRule="atLeast"/>
          <w:jc w:val="center"/>
        </w:trPr>
        <w:tc>
          <w:tcPr>
            <w:tcW w:w="482"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专业基础课（必修）</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D232101　</w:t>
            </w:r>
          </w:p>
        </w:tc>
        <w:tc>
          <w:tcPr>
            <w:tcW w:w="1617" w:type="dxa"/>
            <w:gridSpan w:val="2"/>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普通话　</w:t>
            </w:r>
          </w:p>
        </w:tc>
        <w:tc>
          <w:tcPr>
            <w:tcW w:w="605"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534"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510"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80"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46"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34</w:t>
            </w:r>
          </w:p>
        </w:tc>
        <w:tc>
          <w:tcPr>
            <w:tcW w:w="735" w:type="dxa"/>
            <w:tcBorders>
              <w:top w:val="single" w:color="auto" w:sz="4" w:space="0"/>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14</w:t>
            </w:r>
          </w:p>
        </w:tc>
        <w:tc>
          <w:tcPr>
            <w:tcW w:w="688"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20</w:t>
            </w:r>
          </w:p>
        </w:tc>
        <w:tc>
          <w:tcPr>
            <w:tcW w:w="426"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364"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p>
          <w:p>
            <w:pPr>
              <w:widowControl/>
              <w:rPr>
                <w:rFonts w:hint="eastAsia" w:ascii="仿宋_GB2312" w:eastAsia="仿宋_GB2312" w:cs="宋体" w:hAnsiTheme="minorEastAsia"/>
                <w:kern w:val="0"/>
                <w:sz w:val="18"/>
                <w:szCs w:val="18"/>
              </w:rPr>
            </w:pPr>
          </w:p>
          <w:p>
            <w:pPr>
              <w:widowControl/>
              <w:rPr>
                <w:rFonts w:hint="eastAsia"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D232102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教师口语</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14</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20</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203"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D232103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现代教育技术</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14</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20</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213"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D232104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lang w:eastAsia="zh-CN"/>
              </w:rPr>
            </w:pPr>
            <w:r>
              <w:rPr>
                <w:rFonts w:hint="eastAsia" w:ascii="仿宋_GB2312" w:hAnsi="宋体" w:eastAsia="仿宋_GB2312" w:cs="宋体"/>
                <w:sz w:val="18"/>
                <w:szCs w:val="18"/>
                <w:lang w:eastAsia="zh-CN"/>
              </w:rPr>
              <w:t>书法</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68</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30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38</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213"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D232105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心理学</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68</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58</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10</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213"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D232106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教育学</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68</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58</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10</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3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D232107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儿童发展与教育心理学</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30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3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D232108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教育政策法规</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20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14</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3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D232109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小学班</w:t>
            </w:r>
            <w:r>
              <w:rPr>
                <w:rFonts w:hint="eastAsia" w:ascii="仿宋_GB2312" w:eastAsia="仿宋_GB2312"/>
                <w:sz w:val="18"/>
                <w:szCs w:val="18"/>
                <w:lang w:eastAsia="zh-CN"/>
              </w:rPr>
              <w:t>队</w:t>
            </w:r>
            <w:r>
              <w:rPr>
                <w:rFonts w:hint="eastAsia" w:ascii="仿宋_GB2312" w:eastAsia="仿宋_GB2312"/>
                <w:sz w:val="18"/>
                <w:szCs w:val="18"/>
              </w:rPr>
              <w:t>管理</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24</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10</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3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D232110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板报设计</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68</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34</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34</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3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2720" w:type="dxa"/>
            <w:gridSpan w:val="3"/>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hAnsiTheme="minorEastAsia"/>
                <w:sz w:val="18"/>
                <w:szCs w:val="18"/>
              </w:rPr>
              <w:t>应修学分小计</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28</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8</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8</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6</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0</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476</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296</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180</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374" w:hRule="atLeast"/>
          <w:jc w:val="center"/>
        </w:trPr>
        <w:tc>
          <w:tcPr>
            <w:tcW w:w="482" w:type="dxa"/>
            <w:vMerge w:val="restart"/>
            <w:tcBorders>
              <w:top w:val="nil"/>
              <w:left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专业核心课(必修)</w:t>
            </w: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D232111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小学科学教学法</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20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14</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hAnsiTheme="minorEastAsia"/>
                <w:sz w:val="18"/>
                <w:szCs w:val="18"/>
              </w:rPr>
            </w:pP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374" w:hRule="atLeast"/>
          <w:jc w:val="center"/>
        </w:trPr>
        <w:tc>
          <w:tcPr>
            <w:tcW w:w="482" w:type="dxa"/>
            <w:vMerge w:val="continue"/>
            <w:tcBorders>
              <w:left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D232112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普通物理</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8</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136</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68</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68</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hAnsiTheme="minorEastAsia"/>
                <w:sz w:val="18"/>
                <w:szCs w:val="18"/>
              </w:rPr>
            </w:pP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374" w:hRule="atLeast"/>
          <w:jc w:val="center"/>
        </w:trPr>
        <w:tc>
          <w:tcPr>
            <w:tcW w:w="482" w:type="dxa"/>
            <w:vMerge w:val="continue"/>
            <w:tcBorders>
              <w:left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D232113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　普通化学</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68</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40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28</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hAnsiTheme="minorEastAsia"/>
                <w:sz w:val="18"/>
                <w:szCs w:val="18"/>
              </w:rPr>
            </w:pP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374" w:hRule="atLeast"/>
          <w:jc w:val="center"/>
        </w:trPr>
        <w:tc>
          <w:tcPr>
            <w:tcW w:w="482" w:type="dxa"/>
            <w:vMerge w:val="continue"/>
            <w:tcBorders>
              <w:left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D232114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生命科学</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68</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40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28</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hAnsiTheme="minorEastAsia"/>
                <w:sz w:val="18"/>
                <w:szCs w:val="18"/>
              </w:rPr>
            </w:pP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374" w:hRule="atLeast"/>
          <w:jc w:val="center"/>
        </w:trPr>
        <w:tc>
          <w:tcPr>
            <w:tcW w:w="482" w:type="dxa"/>
            <w:vMerge w:val="continue"/>
            <w:tcBorders>
              <w:left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D232115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lang w:eastAsia="zh-CN"/>
              </w:rPr>
            </w:pPr>
            <w:r>
              <w:rPr>
                <w:rFonts w:hint="eastAsia" w:ascii="仿宋_GB2312" w:hAnsi="宋体" w:eastAsia="仿宋_GB2312" w:cs="宋体"/>
                <w:sz w:val="18"/>
                <w:szCs w:val="18"/>
                <w:lang w:eastAsia="zh-CN"/>
              </w:rPr>
              <w:t>地球与空间科学</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68</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40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28</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hAnsiTheme="minorEastAsia"/>
                <w:sz w:val="18"/>
                <w:szCs w:val="18"/>
              </w:rPr>
            </w:pP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374" w:hRule="atLeast"/>
          <w:jc w:val="center"/>
        </w:trPr>
        <w:tc>
          <w:tcPr>
            <w:tcW w:w="482" w:type="dxa"/>
            <w:vMerge w:val="continue"/>
            <w:tcBorders>
              <w:left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D232116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实验设计与教具制作</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68</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20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48</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hAnsiTheme="minorEastAsia"/>
                <w:sz w:val="18"/>
                <w:szCs w:val="18"/>
              </w:rPr>
            </w:pP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374" w:hRule="atLeast"/>
          <w:jc w:val="center"/>
        </w:trPr>
        <w:tc>
          <w:tcPr>
            <w:tcW w:w="482" w:type="dxa"/>
            <w:vMerge w:val="continue"/>
            <w:tcBorders>
              <w:left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D232117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科学实验</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6</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28</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hAnsiTheme="minorEastAsia"/>
                <w:sz w:val="18"/>
                <w:szCs w:val="18"/>
              </w:rPr>
            </w:pP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374" w:hRule="atLeast"/>
          <w:jc w:val="center"/>
        </w:trPr>
        <w:tc>
          <w:tcPr>
            <w:tcW w:w="482" w:type="dxa"/>
            <w:vMerge w:val="continue"/>
            <w:tcBorders>
              <w:left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D232118　</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高等数学</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8</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136</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hAnsi="宋体" w:eastAsia="仿宋_GB2312" w:cs="宋体"/>
                <w:sz w:val="18"/>
                <w:szCs w:val="18"/>
              </w:rPr>
            </w:pPr>
            <w:r>
              <w:rPr>
                <w:rFonts w:hint="eastAsia" w:ascii="仿宋_GB2312" w:eastAsia="仿宋_GB2312"/>
                <w:sz w:val="18"/>
                <w:szCs w:val="18"/>
              </w:rPr>
              <w:t>120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16</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hAnsiTheme="minorEastAsia"/>
                <w:sz w:val="18"/>
                <w:szCs w:val="18"/>
              </w:rPr>
            </w:pP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203" w:hRule="atLeast"/>
          <w:jc w:val="center"/>
        </w:trPr>
        <w:tc>
          <w:tcPr>
            <w:tcW w:w="482" w:type="dxa"/>
            <w:vMerge w:val="continue"/>
            <w:tcBorders>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27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应修学分小计</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36</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4</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8</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6</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8</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10</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0</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612</w:t>
            </w:r>
          </w:p>
        </w:tc>
        <w:tc>
          <w:tcPr>
            <w:tcW w:w="73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354</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258</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hAnsiTheme="minorEastAsia"/>
                <w:sz w:val="18"/>
                <w:szCs w:val="18"/>
              </w:rPr>
            </w:pPr>
          </w:p>
        </w:tc>
        <w:tc>
          <w:tcPr>
            <w:tcW w:w="364" w:type="dxa"/>
            <w:vMerge w:val="continue"/>
            <w:tcBorders>
              <w:top w:val="nil"/>
              <w:left w:val="single" w:color="auto" w:sz="4" w:space="0"/>
              <w:bottom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213" w:hRule="atLeast"/>
          <w:jc w:val="center"/>
        </w:trPr>
        <w:tc>
          <w:tcPr>
            <w:tcW w:w="4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专业拓展(选修)</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D232201</w:t>
            </w:r>
          </w:p>
        </w:tc>
        <w:tc>
          <w:tcPr>
            <w:tcW w:w="1617" w:type="dxa"/>
            <w:gridSpan w:val="2"/>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教育科研方法　</w:t>
            </w:r>
          </w:p>
        </w:tc>
        <w:tc>
          <w:tcPr>
            <w:tcW w:w="605"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534"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510"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80"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93"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46"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652"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34</w:t>
            </w:r>
          </w:p>
        </w:tc>
        <w:tc>
          <w:tcPr>
            <w:tcW w:w="735" w:type="dxa"/>
            <w:tcBorders>
              <w:top w:val="single" w:color="auto" w:sz="4" w:space="0"/>
              <w:left w:val="nil"/>
              <w:bottom w:val="single" w:color="auto" w:sz="4" w:space="0"/>
              <w:right w:val="single" w:color="auto" w:sz="4" w:space="0"/>
            </w:tcBorders>
            <w:shd w:val="clear" w:color="auto" w:fill="auto"/>
            <w:noWrap/>
            <w:vAlign w:val="center"/>
          </w:tcPr>
          <w:p>
            <w:pPr>
              <w:rPr>
                <w:rFonts w:hint="eastAsia" w:ascii="仿宋_GB2312" w:eastAsia="仿宋_GB2312"/>
                <w:sz w:val="18"/>
                <w:szCs w:val="18"/>
              </w:rPr>
            </w:pPr>
            <w:r>
              <w:rPr>
                <w:rFonts w:hint="eastAsia" w:ascii="仿宋_GB2312" w:eastAsia="仿宋_GB2312"/>
                <w:sz w:val="18"/>
                <w:szCs w:val="18"/>
              </w:rPr>
              <w:t>30</w:t>
            </w:r>
          </w:p>
        </w:tc>
        <w:tc>
          <w:tcPr>
            <w:tcW w:w="688"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4</w:t>
            </w:r>
          </w:p>
        </w:tc>
        <w:tc>
          <w:tcPr>
            <w:tcW w:w="426"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36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rPr>
                <w:rFonts w:hint="eastAsia" w:ascii="仿宋_GB2312" w:eastAsia="仿宋_GB2312" w:hAnsiTheme="minorEastAsia"/>
                <w:sz w:val="18"/>
                <w:szCs w:val="18"/>
              </w:rPr>
            </w:pPr>
            <w:r>
              <w:rPr>
                <w:rFonts w:hint="eastAsia" w:ascii="仿宋_GB2312" w:eastAsia="仿宋_GB2312" w:hAnsiTheme="minorEastAsia"/>
                <w:sz w:val="18"/>
                <w:szCs w:val="18"/>
              </w:rPr>
              <w:t>完成10学分</w:t>
            </w:r>
          </w:p>
        </w:tc>
      </w:tr>
      <w:tr>
        <w:tblPrEx>
          <w:tblLayout w:type="fixed"/>
          <w:tblCellMar>
            <w:top w:w="0" w:type="dxa"/>
            <w:left w:w="108" w:type="dxa"/>
            <w:bottom w:w="0" w:type="dxa"/>
            <w:right w:w="108" w:type="dxa"/>
          </w:tblCellMar>
        </w:tblPrEx>
        <w:trPr>
          <w:trHeight w:val="203"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D232202</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人文社会科学基础　</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sz w:val="18"/>
                <w:szCs w:val="18"/>
              </w:rPr>
            </w:pPr>
            <w:r>
              <w:rPr>
                <w:rFonts w:hint="eastAsia" w:ascii="仿宋_GB2312" w:eastAsia="仿宋_GB2312"/>
                <w:sz w:val="18"/>
                <w:szCs w:val="18"/>
              </w:rPr>
              <w:t>30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4</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364"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213"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D232203</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少年儿童健康教育</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sz w:val="18"/>
                <w:szCs w:val="18"/>
              </w:rPr>
            </w:pPr>
            <w:r>
              <w:rPr>
                <w:rFonts w:hint="eastAsia" w:ascii="仿宋_GB2312" w:eastAsia="仿宋_GB2312"/>
                <w:sz w:val="18"/>
                <w:szCs w:val="18"/>
              </w:rPr>
              <w:t>30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4</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364"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203"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D232204</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AutoCAD的使用　</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sz w:val="18"/>
                <w:szCs w:val="18"/>
              </w:rPr>
            </w:pPr>
            <w:r>
              <w:rPr>
                <w:rFonts w:hint="eastAsia" w:ascii="仿宋_GB2312" w:eastAsia="仿宋_GB2312"/>
                <w:sz w:val="18"/>
                <w:szCs w:val="18"/>
              </w:rPr>
              <w:t>20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14</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364"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363"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D232205</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智能控制编程　</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sz w:val="18"/>
                <w:szCs w:val="18"/>
              </w:rPr>
            </w:pPr>
            <w:r>
              <w:rPr>
                <w:rFonts w:hint="eastAsia" w:ascii="仿宋_GB2312" w:eastAsia="仿宋_GB2312"/>
                <w:sz w:val="18"/>
                <w:szCs w:val="18"/>
              </w:rPr>
              <w:t>20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14</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364"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203"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D232206</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小学综合实践活动设计　</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sz w:val="18"/>
                <w:szCs w:val="18"/>
              </w:rPr>
            </w:pPr>
            <w:r>
              <w:rPr>
                <w:rFonts w:hint="eastAsia" w:ascii="仿宋_GB2312" w:eastAsia="仿宋_GB2312"/>
                <w:sz w:val="18"/>
                <w:szCs w:val="18"/>
              </w:rPr>
              <w:t>30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4</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364"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203"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D232207</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lang w:eastAsia="zh-CN"/>
              </w:rPr>
            </w:pPr>
            <w:r>
              <w:rPr>
                <w:rFonts w:hint="eastAsia" w:ascii="仿宋_GB2312" w:eastAsia="仿宋_GB2312"/>
                <w:sz w:val="18"/>
                <w:szCs w:val="18"/>
              </w:rPr>
              <w:t>科学技术与</w:t>
            </w:r>
            <w:r>
              <w:rPr>
                <w:rFonts w:hint="eastAsia" w:ascii="仿宋_GB2312" w:eastAsia="仿宋_GB2312"/>
                <w:sz w:val="18"/>
                <w:szCs w:val="18"/>
                <w:lang w:eastAsia="zh-CN"/>
              </w:rPr>
              <w:t>生活</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lang w:val="en-US" w:eastAsia="zh-CN"/>
              </w:rPr>
            </w:pPr>
            <w:r>
              <w:rPr>
                <w:rFonts w:hint="eastAsia" w:ascii="仿宋_GB2312" w:eastAsia="仿宋_GB2312"/>
                <w:sz w:val="18"/>
                <w:szCs w:val="18"/>
                <w:lang w:val="en-US" w:eastAsia="zh-CN"/>
              </w:rPr>
              <w:t>2</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sz w:val="18"/>
                <w:szCs w:val="18"/>
              </w:rPr>
            </w:pPr>
            <w:r>
              <w:rPr>
                <w:rFonts w:hint="eastAsia" w:ascii="仿宋_GB2312" w:eastAsia="仿宋_GB2312"/>
                <w:sz w:val="18"/>
                <w:szCs w:val="18"/>
              </w:rPr>
              <w:t>30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4</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364"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203"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D232208</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lang w:eastAsia="zh-CN"/>
              </w:rPr>
            </w:pPr>
            <w:r>
              <w:rPr>
                <w:rFonts w:hint="eastAsia" w:ascii="仿宋_GB2312" w:hAnsi="宋体" w:eastAsia="仿宋_GB2312" w:cs="宋体"/>
                <w:sz w:val="18"/>
                <w:szCs w:val="18"/>
                <w:lang w:eastAsia="zh-CN"/>
              </w:rPr>
              <w:t>科技史</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sz w:val="18"/>
                <w:szCs w:val="18"/>
              </w:rPr>
            </w:pPr>
            <w:r>
              <w:rPr>
                <w:rFonts w:hint="eastAsia" w:ascii="仿宋_GB2312" w:eastAsia="仿宋_GB2312"/>
                <w:sz w:val="18"/>
                <w:szCs w:val="18"/>
              </w:rPr>
              <w:t>30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4</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364"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203"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D232209</w:t>
            </w:r>
          </w:p>
        </w:tc>
        <w:tc>
          <w:tcPr>
            <w:tcW w:w="1617" w:type="dxa"/>
            <w:gridSpan w:val="2"/>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数学建模与3D打印</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34</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sz w:val="18"/>
                <w:szCs w:val="18"/>
              </w:rPr>
            </w:pPr>
            <w:r>
              <w:rPr>
                <w:rFonts w:hint="eastAsia" w:ascii="仿宋_GB2312" w:eastAsia="仿宋_GB2312"/>
                <w:sz w:val="18"/>
                <w:szCs w:val="18"/>
              </w:rPr>
              <w:t>20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14</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w:t>
            </w:r>
          </w:p>
        </w:tc>
        <w:tc>
          <w:tcPr>
            <w:tcW w:w="364"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203"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2720" w:type="dxa"/>
            <w:gridSpan w:val="3"/>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sz w:val="18"/>
                <w:szCs w:val="18"/>
              </w:rPr>
            </w:pPr>
            <w:r>
              <w:rPr>
                <w:rFonts w:hint="eastAsia" w:ascii="仿宋_GB2312" w:eastAsia="仿宋_GB2312" w:hAnsiTheme="minorEastAsia"/>
                <w:sz w:val="18"/>
                <w:szCs w:val="18"/>
              </w:rPr>
              <w:t>应修学分小计</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10</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0</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170</w:t>
            </w:r>
          </w:p>
        </w:tc>
        <w:tc>
          <w:tcPr>
            <w:tcW w:w="735" w:type="dxa"/>
            <w:tcBorders>
              <w:top w:val="nil"/>
              <w:left w:val="nil"/>
              <w:bottom w:val="single" w:color="auto" w:sz="4" w:space="0"/>
              <w:right w:val="single" w:color="auto" w:sz="4" w:space="0"/>
            </w:tcBorders>
            <w:shd w:val="clear" w:color="auto" w:fill="auto"/>
            <w:noWrap/>
            <w:vAlign w:val="center"/>
          </w:tcPr>
          <w:p>
            <w:pPr>
              <w:rPr>
                <w:rFonts w:hint="eastAsia" w:ascii="仿宋_GB2312" w:eastAsia="仿宋_GB2312"/>
                <w:sz w:val="18"/>
                <w:szCs w:val="18"/>
              </w:rPr>
            </w:pPr>
            <w:r>
              <w:rPr>
                <w:rFonts w:hint="eastAsia" w:ascii="仿宋_GB2312" w:eastAsia="仿宋_GB2312"/>
                <w:sz w:val="18"/>
                <w:szCs w:val="18"/>
              </w:rPr>
              <w:t>120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50</w:t>
            </w:r>
          </w:p>
        </w:tc>
        <w:tc>
          <w:tcPr>
            <w:tcW w:w="426"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hAnsiTheme="minorEastAsia"/>
                <w:color w:val="000000"/>
                <w:sz w:val="18"/>
                <w:szCs w:val="18"/>
              </w:rPr>
            </w:pP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hAnsiTheme="minorEastAsia"/>
                <w:color w:val="000000"/>
                <w:sz w:val="18"/>
                <w:szCs w:val="18"/>
              </w:rPr>
            </w:pPr>
          </w:p>
        </w:tc>
        <w:tc>
          <w:tcPr>
            <w:tcW w:w="364"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203"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27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r>
              <w:rPr>
                <w:rFonts w:hint="eastAsia" w:ascii="仿宋_GB2312" w:eastAsia="仿宋_GB2312" w:cs="宋体" w:hAnsiTheme="minorEastAsia"/>
                <w:kern w:val="0"/>
                <w:sz w:val="18"/>
                <w:szCs w:val="18"/>
              </w:rPr>
              <w:t>周课时合计</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120</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32</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28</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18</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24</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18</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0</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2040</w:t>
            </w:r>
          </w:p>
        </w:tc>
        <w:tc>
          <w:tcPr>
            <w:tcW w:w="73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1197</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843</w:t>
            </w:r>
          </w:p>
        </w:tc>
        <w:tc>
          <w:tcPr>
            <w:tcW w:w="426"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r>
              <w:rPr>
                <w:rFonts w:hint="eastAsia" w:ascii="仿宋_GB2312" w:eastAsia="仿宋_GB2312" w:hAnsiTheme="minorEastAsia"/>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p>
        </w:tc>
        <w:tc>
          <w:tcPr>
            <w:tcW w:w="364"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203" w:hRule="atLeast"/>
          <w:jc w:val="center"/>
        </w:trPr>
        <w:tc>
          <w:tcPr>
            <w:tcW w:w="482" w:type="dxa"/>
            <w:vMerge w:val="restart"/>
            <w:tcBorders>
              <w:top w:val="single" w:color="auto" w:sz="4" w:space="0"/>
              <w:left w:val="single" w:color="auto" w:sz="4" w:space="0"/>
              <w:right w:val="single" w:color="auto" w:sz="4" w:space="0"/>
            </w:tcBorders>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教育实践课</w:t>
            </w: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cs="宋体" w:hAnsiTheme="minorEastAsia"/>
                <w:sz w:val="18"/>
                <w:szCs w:val="18"/>
              </w:rPr>
            </w:pPr>
            <w:r>
              <w:rPr>
                <w:rFonts w:hint="eastAsia" w:ascii="仿宋_GB2312" w:eastAsia="仿宋_GB2312" w:hAnsiTheme="minorEastAsia"/>
                <w:sz w:val="18"/>
                <w:szCs w:val="18"/>
              </w:rPr>
              <w:t>军事技能</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112</w:t>
            </w:r>
          </w:p>
        </w:tc>
        <w:tc>
          <w:tcPr>
            <w:tcW w:w="73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0</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112</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364" w:type="dxa"/>
            <w:vMerge w:val="restart"/>
            <w:tcBorders>
              <w:top w:val="single" w:color="auto" w:sz="4" w:space="0"/>
              <w:left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203" w:hRule="atLeast"/>
          <w:jc w:val="center"/>
        </w:trPr>
        <w:tc>
          <w:tcPr>
            <w:tcW w:w="482" w:type="dxa"/>
            <w:vMerge w:val="continue"/>
            <w:tcBorders>
              <w:left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cs="宋体" w:hAnsiTheme="minorEastAsia"/>
                <w:sz w:val="18"/>
                <w:szCs w:val="18"/>
              </w:rPr>
            </w:pPr>
            <w:r>
              <w:rPr>
                <w:rFonts w:hint="eastAsia" w:ascii="仿宋_GB2312" w:eastAsia="仿宋_GB2312" w:hAnsiTheme="minorEastAsia"/>
                <w:sz w:val="18"/>
                <w:szCs w:val="18"/>
              </w:rPr>
              <w:t>教育见习</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6</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102</w:t>
            </w:r>
          </w:p>
        </w:tc>
        <w:tc>
          <w:tcPr>
            <w:tcW w:w="73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34</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68</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w:t>
            </w:r>
          </w:p>
        </w:tc>
        <w:tc>
          <w:tcPr>
            <w:tcW w:w="364" w:type="dxa"/>
            <w:vMerge w:val="continue"/>
            <w:tcBorders>
              <w:left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203" w:hRule="atLeast"/>
          <w:jc w:val="center"/>
        </w:trPr>
        <w:tc>
          <w:tcPr>
            <w:tcW w:w="482" w:type="dxa"/>
            <w:vMerge w:val="continue"/>
            <w:tcBorders>
              <w:left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cs="宋体" w:hAnsiTheme="minorEastAsia"/>
                <w:sz w:val="18"/>
                <w:szCs w:val="18"/>
              </w:rPr>
            </w:pPr>
            <w:r>
              <w:rPr>
                <w:rFonts w:hint="eastAsia" w:ascii="仿宋_GB2312" w:eastAsia="仿宋_GB2312" w:hAnsiTheme="minorEastAsia"/>
                <w:sz w:val="18"/>
                <w:szCs w:val="18"/>
              </w:rPr>
              <w:t>教育实习</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12</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12</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312</w:t>
            </w:r>
          </w:p>
        </w:tc>
        <w:tc>
          <w:tcPr>
            <w:tcW w:w="73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34</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278</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w:t>
            </w:r>
          </w:p>
        </w:tc>
        <w:tc>
          <w:tcPr>
            <w:tcW w:w="364" w:type="dxa"/>
            <w:vMerge w:val="continue"/>
            <w:tcBorders>
              <w:left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203" w:hRule="atLeast"/>
          <w:jc w:val="center"/>
        </w:trPr>
        <w:tc>
          <w:tcPr>
            <w:tcW w:w="482" w:type="dxa"/>
            <w:vMerge w:val="continue"/>
            <w:tcBorders>
              <w:left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1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cs="宋体" w:hAnsiTheme="minorEastAsia"/>
                <w:sz w:val="18"/>
                <w:szCs w:val="18"/>
              </w:rPr>
            </w:pPr>
            <w:r>
              <w:rPr>
                <w:rFonts w:hint="eastAsia" w:ascii="仿宋_GB2312" w:eastAsia="仿宋_GB2312" w:hAnsiTheme="minorEastAsia"/>
                <w:sz w:val="18"/>
                <w:szCs w:val="18"/>
              </w:rPr>
              <w:t>毕业设计</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6</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6</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102</w:t>
            </w:r>
          </w:p>
        </w:tc>
        <w:tc>
          <w:tcPr>
            <w:tcW w:w="73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34</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68</w:t>
            </w:r>
          </w:p>
        </w:tc>
        <w:tc>
          <w:tcPr>
            <w:tcW w:w="4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p>
        </w:tc>
        <w:tc>
          <w:tcPr>
            <w:tcW w:w="364" w:type="dxa"/>
            <w:vMerge w:val="continue"/>
            <w:tcBorders>
              <w:left w:val="single" w:color="auto"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CellMar>
            <w:top w:w="0" w:type="dxa"/>
            <w:left w:w="108" w:type="dxa"/>
            <w:bottom w:w="0" w:type="dxa"/>
            <w:right w:w="108" w:type="dxa"/>
          </w:tblCellMar>
        </w:tblPrEx>
        <w:trPr>
          <w:trHeight w:val="203" w:hRule="atLeast"/>
          <w:jc w:val="center"/>
        </w:trPr>
        <w:tc>
          <w:tcPr>
            <w:tcW w:w="482" w:type="dxa"/>
            <w:vMerge w:val="continue"/>
            <w:tcBorders>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18"/>
                <w:szCs w:val="18"/>
              </w:rPr>
            </w:pPr>
          </w:p>
        </w:tc>
        <w:tc>
          <w:tcPr>
            <w:tcW w:w="27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应修学分小计</w:t>
            </w:r>
          </w:p>
        </w:tc>
        <w:tc>
          <w:tcPr>
            <w:tcW w:w="60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26</w:t>
            </w:r>
          </w:p>
        </w:tc>
        <w:tc>
          <w:tcPr>
            <w:tcW w:w="534"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w:t>
            </w:r>
          </w:p>
        </w:tc>
        <w:tc>
          <w:tcPr>
            <w:tcW w:w="51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w:t>
            </w:r>
          </w:p>
        </w:tc>
        <w:tc>
          <w:tcPr>
            <w:tcW w:w="4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w:t>
            </w:r>
          </w:p>
        </w:tc>
        <w:tc>
          <w:tcPr>
            <w:tcW w:w="493"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w:t>
            </w:r>
          </w:p>
        </w:tc>
        <w:tc>
          <w:tcPr>
            <w:tcW w:w="44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w:t>
            </w:r>
          </w:p>
        </w:tc>
        <w:tc>
          <w:tcPr>
            <w:tcW w:w="42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18</w:t>
            </w:r>
          </w:p>
        </w:tc>
        <w:tc>
          <w:tcPr>
            <w:tcW w:w="652"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628</w:t>
            </w:r>
          </w:p>
        </w:tc>
        <w:tc>
          <w:tcPr>
            <w:tcW w:w="73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102</w:t>
            </w:r>
          </w:p>
        </w:tc>
        <w:tc>
          <w:tcPr>
            <w:tcW w:w="688"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526</w:t>
            </w:r>
          </w:p>
        </w:tc>
        <w:tc>
          <w:tcPr>
            <w:tcW w:w="426"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hAnsiTheme="minorEastAsia"/>
                <w:sz w:val="18"/>
                <w:szCs w:val="18"/>
              </w:rPr>
            </w:pP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p>
        </w:tc>
        <w:tc>
          <w:tcPr>
            <w:tcW w:w="364" w:type="dxa"/>
            <w:vMerge w:val="continue"/>
            <w:tcBorders>
              <w:left w:val="single" w:color="auto" w:sz="4" w:space="0"/>
              <w:bottom w:val="single" w:color="000000" w:sz="4" w:space="0"/>
              <w:right w:val="single" w:color="auto" w:sz="4" w:space="0"/>
            </w:tcBorders>
            <w:vAlign w:val="center"/>
          </w:tcPr>
          <w:p>
            <w:pPr>
              <w:widowControl/>
              <w:rPr>
                <w:rFonts w:hint="eastAsia" w:ascii="仿宋_GB2312" w:eastAsia="仿宋_GB2312" w:cs="宋体" w:hAnsiTheme="minorEastAsia"/>
                <w:kern w:val="0"/>
                <w:sz w:val="18"/>
                <w:szCs w:val="18"/>
              </w:rPr>
            </w:pPr>
          </w:p>
        </w:tc>
      </w:tr>
      <w:tr>
        <w:tblPrEx>
          <w:tblLayout w:type="fixed"/>
        </w:tblPrEx>
        <w:trPr>
          <w:trHeight w:val="203" w:hRule="atLeast"/>
          <w:jc w:val="center"/>
        </w:trPr>
        <w:tc>
          <w:tcPr>
            <w:tcW w:w="32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r>
              <w:rPr>
                <w:rFonts w:hint="eastAsia" w:ascii="仿宋_GB2312" w:eastAsia="仿宋_GB2312" w:hAnsiTheme="minorEastAsia"/>
                <w:sz w:val="18"/>
                <w:szCs w:val="18"/>
              </w:rPr>
              <w:t>学分合计</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146</w:t>
            </w:r>
          </w:p>
        </w:tc>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35</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29</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19</w:t>
            </w:r>
          </w:p>
        </w:tc>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25</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18</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2668</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1299</w:t>
            </w:r>
          </w:p>
        </w:tc>
        <w:tc>
          <w:tcPr>
            <w:tcW w:w="688" w:type="dxa"/>
            <w:tcBorders>
              <w:top w:val="single" w:color="auto" w:sz="4" w:space="0"/>
              <w:left w:val="single" w:color="auto" w:sz="4" w:space="0"/>
              <w:bottom w:val="single" w:color="auto" w:sz="4" w:space="0"/>
              <w:right w:val="nil"/>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1369</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146</w:t>
            </w:r>
          </w:p>
        </w:tc>
        <w:tc>
          <w:tcPr>
            <w:tcW w:w="425"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c>
          <w:tcPr>
            <w:tcW w:w="364" w:type="dxa"/>
            <w:tcBorders>
              <w:top w:val="nil"/>
              <w:left w:val="nil"/>
              <w:bottom w:val="single" w:color="auto" w:sz="4" w:space="0"/>
              <w:right w:val="single" w:color="auto" w:sz="4" w:space="0"/>
            </w:tcBorders>
            <w:shd w:val="clear" w:color="auto" w:fill="auto"/>
            <w:vAlign w:val="center"/>
          </w:tcPr>
          <w:p>
            <w:pPr>
              <w:widowControl/>
              <w:rPr>
                <w:rFonts w:hint="eastAsia" w:ascii="仿宋_GB2312" w:eastAsia="仿宋_GB2312" w:cs="宋体" w:hAnsiTheme="minorEastAsia"/>
                <w:kern w:val="0"/>
                <w:sz w:val="18"/>
                <w:szCs w:val="18"/>
              </w:rPr>
            </w:pPr>
            <w:r>
              <w:rPr>
                <w:rFonts w:hint="eastAsia" w:ascii="仿宋_GB2312" w:eastAsia="仿宋_GB2312" w:cs="宋体" w:hAnsiTheme="minorEastAsia"/>
                <w:kern w:val="0"/>
                <w:sz w:val="18"/>
                <w:szCs w:val="18"/>
              </w:rPr>
              <w:t>　</w:t>
            </w:r>
          </w:p>
        </w:tc>
      </w:tr>
    </w:tbl>
    <w:p>
      <w:pPr>
        <w:ind w:firstLine="420" w:firstLineChars="200"/>
        <w:rPr>
          <w:rFonts w:hint="eastAsia" w:ascii="仿宋_GB2312" w:hAnsi="宋体" w:eastAsia="仿宋_GB2312" w:cs="宋体"/>
          <w:bCs/>
          <w:szCs w:val="21"/>
        </w:rPr>
      </w:pPr>
      <w:r>
        <w:rPr>
          <w:rFonts w:hint="eastAsia" w:ascii="仿宋_GB2312" w:hAnsi="宋体" w:eastAsia="仿宋_GB2312"/>
          <w:bCs/>
          <w:color w:val="000000"/>
          <w:szCs w:val="21"/>
        </w:rPr>
        <w:t>备注：选修课程可</w:t>
      </w:r>
      <w:r>
        <w:rPr>
          <w:rFonts w:hint="eastAsia" w:ascii="仿宋_GB2312" w:hAnsi="宋体" w:eastAsia="仿宋_GB2312" w:cs="宋体"/>
          <w:bCs/>
          <w:szCs w:val="21"/>
        </w:rPr>
        <w:t>通过现场授课、网络学习和专题讲座的形式开展。</w:t>
      </w:r>
    </w:p>
    <w:p>
      <w:pPr>
        <w:ind w:firstLine="420" w:firstLineChars="200"/>
        <w:rPr>
          <w:rFonts w:ascii="宋体" w:hAnsi="宋体" w:cs="宋体"/>
          <w:bCs/>
          <w:szCs w:val="21"/>
        </w:rPr>
      </w:pPr>
    </w:p>
    <w:p>
      <w:pPr>
        <w:ind w:firstLine="310" w:firstLineChars="147"/>
        <w:rPr>
          <w:rFonts w:ascii="仿宋_GB2312" w:hAnsi="宋体" w:eastAsia="仿宋_GB2312" w:cs="宋体"/>
          <w:b/>
          <w:szCs w:val="21"/>
        </w:rPr>
      </w:pPr>
      <w:r>
        <w:rPr>
          <w:rFonts w:hint="eastAsia" w:ascii="仿宋_GB2312" w:hAnsi="宋体" w:eastAsia="仿宋_GB2312" w:cs="宋体"/>
          <w:b/>
          <w:szCs w:val="21"/>
        </w:rPr>
        <w:t>（四）学分及学时比例表</w:t>
      </w:r>
    </w:p>
    <w:tbl>
      <w:tblPr>
        <w:tblStyle w:val="21"/>
        <w:tblW w:w="9480" w:type="dxa"/>
        <w:tblInd w:w="93" w:type="dxa"/>
        <w:tblLayout w:type="fixed"/>
        <w:tblCellMar>
          <w:top w:w="0" w:type="dxa"/>
          <w:left w:w="108" w:type="dxa"/>
          <w:bottom w:w="0" w:type="dxa"/>
          <w:right w:w="108" w:type="dxa"/>
        </w:tblCellMar>
      </w:tblPr>
      <w:tblGrid>
        <w:gridCol w:w="724"/>
        <w:gridCol w:w="1559"/>
        <w:gridCol w:w="686"/>
        <w:gridCol w:w="886"/>
        <w:gridCol w:w="886"/>
        <w:gridCol w:w="950"/>
        <w:gridCol w:w="969"/>
        <w:gridCol w:w="1193"/>
        <w:gridCol w:w="1627"/>
      </w:tblGrid>
      <w:tr>
        <w:tblPrEx>
          <w:tblLayout w:type="fixed"/>
          <w:tblCellMar>
            <w:top w:w="0" w:type="dxa"/>
            <w:left w:w="108" w:type="dxa"/>
            <w:bottom w:w="0" w:type="dxa"/>
            <w:right w:w="108" w:type="dxa"/>
          </w:tblCellMar>
        </w:tblPrEx>
        <w:trPr>
          <w:trHeight w:val="313" w:hRule="atLeast"/>
        </w:trPr>
        <w:tc>
          <w:tcPr>
            <w:tcW w:w="228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课程类型</w:t>
            </w:r>
          </w:p>
        </w:tc>
        <w:tc>
          <w:tcPr>
            <w:tcW w:w="6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学分</w:t>
            </w:r>
          </w:p>
        </w:tc>
        <w:tc>
          <w:tcPr>
            <w:tcW w:w="369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修读学时及比例</w:t>
            </w:r>
          </w:p>
        </w:tc>
        <w:tc>
          <w:tcPr>
            <w:tcW w:w="282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实践学时及比例</w:t>
            </w:r>
          </w:p>
        </w:tc>
      </w:tr>
      <w:tr>
        <w:tblPrEx>
          <w:tblLayout w:type="fixed"/>
          <w:tblCellMar>
            <w:top w:w="0" w:type="dxa"/>
            <w:left w:w="108" w:type="dxa"/>
            <w:bottom w:w="0" w:type="dxa"/>
            <w:right w:w="108" w:type="dxa"/>
          </w:tblCellMar>
        </w:tblPrEx>
        <w:trPr>
          <w:trHeight w:val="275" w:hRule="atLeast"/>
        </w:trPr>
        <w:tc>
          <w:tcPr>
            <w:tcW w:w="228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18"/>
                <w:szCs w:val="18"/>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18"/>
                <w:szCs w:val="18"/>
              </w:rPr>
            </w:pPr>
          </w:p>
        </w:tc>
        <w:tc>
          <w:tcPr>
            <w:tcW w:w="17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合计学时</w:t>
            </w:r>
          </w:p>
        </w:tc>
        <w:tc>
          <w:tcPr>
            <w:tcW w:w="191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占总学时（%）</w:t>
            </w:r>
          </w:p>
        </w:tc>
        <w:tc>
          <w:tcPr>
            <w:tcW w:w="11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实践学时</w:t>
            </w:r>
          </w:p>
        </w:tc>
        <w:tc>
          <w:tcPr>
            <w:tcW w:w="16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实践/总学时</w:t>
            </w:r>
          </w:p>
        </w:tc>
      </w:tr>
      <w:tr>
        <w:tblPrEx>
          <w:tblLayout w:type="fixed"/>
          <w:tblCellMar>
            <w:top w:w="0" w:type="dxa"/>
            <w:left w:w="108" w:type="dxa"/>
            <w:bottom w:w="0" w:type="dxa"/>
            <w:right w:w="108" w:type="dxa"/>
          </w:tblCellMar>
        </w:tblPrEx>
        <w:trPr>
          <w:trHeight w:val="51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公共课</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公共基础必修课程</w:t>
            </w:r>
          </w:p>
        </w:tc>
        <w:tc>
          <w:tcPr>
            <w:tcW w:w="686"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38</w:t>
            </w:r>
          </w:p>
        </w:tc>
        <w:tc>
          <w:tcPr>
            <w:tcW w:w="886"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782</w:t>
            </w:r>
          </w:p>
        </w:tc>
        <w:tc>
          <w:tcPr>
            <w:tcW w:w="886"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646</w:t>
            </w:r>
          </w:p>
        </w:tc>
        <w:tc>
          <w:tcPr>
            <w:tcW w:w="950"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24.21%</w:t>
            </w:r>
          </w:p>
        </w:tc>
        <w:tc>
          <w:tcPr>
            <w:tcW w:w="969"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29.31%</w:t>
            </w:r>
          </w:p>
        </w:tc>
        <w:tc>
          <w:tcPr>
            <w:tcW w:w="1193"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eastAsia="仿宋_GB2312"/>
                <w:sz w:val="18"/>
                <w:szCs w:val="18"/>
              </w:rPr>
            </w:pPr>
            <w:r>
              <w:rPr>
                <w:rFonts w:hint="eastAsia" w:ascii="仿宋_GB2312" w:eastAsia="仿宋_GB2312"/>
                <w:sz w:val="18"/>
                <w:szCs w:val="18"/>
              </w:rPr>
              <w:t>304</w:t>
            </w:r>
          </w:p>
        </w:tc>
        <w:tc>
          <w:tcPr>
            <w:tcW w:w="1627"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eastAsia="仿宋_GB2312"/>
                <w:sz w:val="18"/>
                <w:szCs w:val="18"/>
              </w:rPr>
            </w:pPr>
            <w:r>
              <w:rPr>
                <w:rFonts w:hint="eastAsia" w:ascii="仿宋_GB2312" w:eastAsia="仿宋_GB2312"/>
                <w:sz w:val="18"/>
                <w:szCs w:val="18"/>
              </w:rPr>
              <w:t>11.39%</w:t>
            </w:r>
          </w:p>
        </w:tc>
      </w:tr>
      <w:tr>
        <w:tblPrEx>
          <w:tblLayout w:type="fixed"/>
          <w:tblCellMar>
            <w:top w:w="0" w:type="dxa"/>
            <w:left w:w="108" w:type="dxa"/>
            <w:bottom w:w="0" w:type="dxa"/>
            <w:right w:w="108" w:type="dxa"/>
          </w:tblCellMar>
        </w:tblPrEx>
        <w:trPr>
          <w:trHeight w:val="51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公共基础选修课程</w:t>
            </w:r>
          </w:p>
        </w:tc>
        <w:tc>
          <w:tcPr>
            <w:tcW w:w="68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eastAsia="仿宋_GB2312"/>
                <w:sz w:val="18"/>
                <w:szCs w:val="18"/>
              </w:rPr>
              <w:t>8</w:t>
            </w:r>
          </w:p>
        </w:tc>
        <w:tc>
          <w:tcPr>
            <w:tcW w:w="886" w:type="dxa"/>
            <w:vMerge w:val="continue"/>
            <w:tcBorders>
              <w:top w:val="nil"/>
              <w:left w:val="single" w:color="auto" w:sz="4" w:space="0"/>
              <w:bottom w:val="single" w:color="000000" w:sz="4" w:space="0"/>
              <w:right w:val="single" w:color="auto" w:sz="4" w:space="0"/>
            </w:tcBorders>
            <w:vAlign w:val="center"/>
          </w:tcPr>
          <w:p>
            <w:pPr>
              <w:widowControl/>
              <w:jc w:val="center"/>
              <w:rPr>
                <w:rFonts w:hint="eastAsia" w:ascii="仿宋_GB2312" w:hAnsi="宋体" w:eastAsia="仿宋_GB2312" w:cs="宋体"/>
                <w:kern w:val="0"/>
                <w:sz w:val="18"/>
                <w:szCs w:val="18"/>
              </w:rPr>
            </w:pPr>
          </w:p>
        </w:tc>
        <w:tc>
          <w:tcPr>
            <w:tcW w:w="88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eastAsia="仿宋_GB2312"/>
                <w:sz w:val="18"/>
                <w:szCs w:val="18"/>
              </w:rPr>
              <w:t>136</w:t>
            </w:r>
          </w:p>
        </w:tc>
        <w:tc>
          <w:tcPr>
            <w:tcW w:w="9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eastAsia="仿宋_GB2312"/>
                <w:sz w:val="18"/>
                <w:szCs w:val="18"/>
              </w:rPr>
              <w:t>5.10%</w:t>
            </w:r>
          </w:p>
        </w:tc>
        <w:tc>
          <w:tcPr>
            <w:tcW w:w="969" w:type="dxa"/>
            <w:vMerge w:val="continue"/>
            <w:tcBorders>
              <w:top w:val="nil"/>
              <w:left w:val="single" w:color="auto" w:sz="4" w:space="0"/>
              <w:bottom w:val="single" w:color="000000" w:sz="4" w:space="0"/>
              <w:right w:val="single" w:color="auto" w:sz="4" w:space="0"/>
            </w:tcBorders>
            <w:vAlign w:val="center"/>
          </w:tcPr>
          <w:p>
            <w:pPr>
              <w:widowControl/>
              <w:jc w:val="center"/>
              <w:rPr>
                <w:rFonts w:hint="eastAsia" w:ascii="仿宋_GB2312" w:hAnsi="宋体" w:eastAsia="仿宋_GB2312" w:cs="宋体"/>
                <w:kern w:val="0"/>
                <w:sz w:val="18"/>
                <w:szCs w:val="18"/>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eastAsia="仿宋_GB2312"/>
                <w:sz w:val="18"/>
                <w:szCs w:val="18"/>
              </w:rPr>
              <w:t>51</w:t>
            </w:r>
          </w:p>
        </w:tc>
        <w:tc>
          <w:tcPr>
            <w:tcW w:w="16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eastAsia="仿宋_GB2312"/>
                <w:sz w:val="18"/>
                <w:szCs w:val="18"/>
              </w:rPr>
              <w:t>1.91%</w:t>
            </w:r>
          </w:p>
        </w:tc>
      </w:tr>
      <w:tr>
        <w:tblPrEx>
          <w:tblLayout w:type="fixed"/>
          <w:tblCellMar>
            <w:top w:w="0" w:type="dxa"/>
            <w:left w:w="108" w:type="dxa"/>
            <w:bottom w:w="0" w:type="dxa"/>
            <w:right w:w="108" w:type="dxa"/>
          </w:tblCellMar>
        </w:tblPrEx>
        <w:trPr>
          <w:trHeight w:val="510" w:hRule="atLeast"/>
        </w:trPr>
        <w:tc>
          <w:tcPr>
            <w:tcW w:w="724" w:type="dxa"/>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专科课程</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专业基础课程</w:t>
            </w:r>
          </w:p>
        </w:tc>
        <w:tc>
          <w:tcPr>
            <w:tcW w:w="686"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28</w:t>
            </w:r>
          </w:p>
        </w:tc>
        <w:tc>
          <w:tcPr>
            <w:tcW w:w="886"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1088</w:t>
            </w:r>
          </w:p>
        </w:tc>
        <w:tc>
          <w:tcPr>
            <w:tcW w:w="886"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476</w:t>
            </w:r>
          </w:p>
        </w:tc>
        <w:tc>
          <w:tcPr>
            <w:tcW w:w="950"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17.84%</w:t>
            </w:r>
          </w:p>
        </w:tc>
        <w:tc>
          <w:tcPr>
            <w:tcW w:w="969"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40.78%</w:t>
            </w:r>
          </w:p>
        </w:tc>
        <w:tc>
          <w:tcPr>
            <w:tcW w:w="1193"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eastAsia="仿宋_GB2312"/>
                <w:sz w:val="18"/>
                <w:szCs w:val="18"/>
              </w:rPr>
            </w:pPr>
            <w:r>
              <w:rPr>
                <w:rFonts w:hint="eastAsia" w:ascii="仿宋_GB2312" w:eastAsia="仿宋_GB2312"/>
                <w:sz w:val="18"/>
                <w:szCs w:val="18"/>
              </w:rPr>
              <w:t>180</w:t>
            </w:r>
          </w:p>
        </w:tc>
        <w:tc>
          <w:tcPr>
            <w:tcW w:w="1627"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eastAsia="仿宋_GB2312"/>
                <w:sz w:val="18"/>
                <w:szCs w:val="18"/>
              </w:rPr>
            </w:pPr>
            <w:r>
              <w:rPr>
                <w:rFonts w:hint="eastAsia" w:ascii="仿宋_GB2312" w:eastAsia="仿宋_GB2312"/>
                <w:sz w:val="18"/>
                <w:szCs w:val="18"/>
              </w:rPr>
              <w:t>6.75%</w:t>
            </w:r>
          </w:p>
        </w:tc>
      </w:tr>
      <w:tr>
        <w:tblPrEx>
          <w:tblLayout w:type="fixed"/>
        </w:tblPrEx>
        <w:trPr>
          <w:trHeight w:val="411" w:hRule="atLeast"/>
        </w:trPr>
        <w:tc>
          <w:tcPr>
            <w:tcW w:w="724" w:type="dxa"/>
            <w:vMerge w:val="continue"/>
            <w:tcBorders>
              <w:top w:val="nil"/>
              <w:left w:val="single" w:color="auto" w:sz="4" w:space="0"/>
              <w:bottom w:val="nil"/>
              <w:right w:val="single" w:color="auto" w:sz="4" w:space="0"/>
            </w:tcBorders>
            <w:vAlign w:val="center"/>
          </w:tcPr>
          <w:p>
            <w:pPr>
              <w:widowControl/>
              <w:jc w:val="center"/>
              <w:rPr>
                <w:rFonts w:hint="eastAsia" w:ascii="仿宋_GB2312" w:hAnsi="宋体" w:eastAsia="仿宋_GB2312" w:cs="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专业核心课程</w:t>
            </w:r>
          </w:p>
        </w:tc>
        <w:tc>
          <w:tcPr>
            <w:tcW w:w="68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eastAsia="仿宋_GB2312"/>
                <w:sz w:val="18"/>
                <w:szCs w:val="18"/>
              </w:rPr>
              <w:t>36</w:t>
            </w:r>
          </w:p>
        </w:tc>
        <w:tc>
          <w:tcPr>
            <w:tcW w:w="886" w:type="dxa"/>
            <w:vMerge w:val="continue"/>
            <w:tcBorders>
              <w:top w:val="nil"/>
              <w:left w:val="single" w:color="auto" w:sz="4" w:space="0"/>
              <w:bottom w:val="single" w:color="000000" w:sz="4" w:space="0"/>
              <w:right w:val="single" w:color="auto" w:sz="4" w:space="0"/>
            </w:tcBorders>
            <w:vAlign w:val="center"/>
          </w:tcPr>
          <w:p>
            <w:pPr>
              <w:widowControl/>
              <w:jc w:val="center"/>
              <w:rPr>
                <w:rFonts w:hint="eastAsia" w:ascii="仿宋_GB2312" w:hAnsi="宋体" w:eastAsia="仿宋_GB2312" w:cs="宋体"/>
                <w:kern w:val="0"/>
                <w:sz w:val="18"/>
                <w:szCs w:val="18"/>
              </w:rPr>
            </w:pPr>
          </w:p>
        </w:tc>
        <w:tc>
          <w:tcPr>
            <w:tcW w:w="88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eastAsia="仿宋_GB2312"/>
                <w:sz w:val="18"/>
                <w:szCs w:val="18"/>
              </w:rPr>
              <w:t>612</w:t>
            </w:r>
          </w:p>
        </w:tc>
        <w:tc>
          <w:tcPr>
            <w:tcW w:w="9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eastAsia="仿宋_GB2312"/>
                <w:sz w:val="18"/>
                <w:szCs w:val="18"/>
              </w:rPr>
              <w:t>22.94%</w:t>
            </w:r>
          </w:p>
        </w:tc>
        <w:tc>
          <w:tcPr>
            <w:tcW w:w="969" w:type="dxa"/>
            <w:vMerge w:val="continue"/>
            <w:tcBorders>
              <w:top w:val="nil"/>
              <w:left w:val="single" w:color="auto" w:sz="4" w:space="0"/>
              <w:bottom w:val="single" w:color="000000" w:sz="4" w:space="0"/>
              <w:right w:val="single" w:color="auto" w:sz="4" w:space="0"/>
            </w:tcBorders>
            <w:vAlign w:val="center"/>
          </w:tcPr>
          <w:p>
            <w:pPr>
              <w:widowControl/>
              <w:jc w:val="center"/>
              <w:rPr>
                <w:rFonts w:hint="eastAsia" w:ascii="仿宋_GB2312" w:hAnsi="宋体" w:eastAsia="仿宋_GB2312" w:cs="宋体"/>
                <w:kern w:val="0"/>
                <w:sz w:val="18"/>
                <w:szCs w:val="18"/>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eastAsia="仿宋_GB2312"/>
                <w:sz w:val="18"/>
                <w:szCs w:val="18"/>
              </w:rPr>
              <w:t>258</w:t>
            </w:r>
          </w:p>
        </w:tc>
        <w:tc>
          <w:tcPr>
            <w:tcW w:w="16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eastAsia="仿宋_GB2312"/>
                <w:sz w:val="18"/>
                <w:szCs w:val="18"/>
              </w:rPr>
              <w:t>9.67%</w:t>
            </w:r>
          </w:p>
        </w:tc>
      </w:tr>
      <w:tr>
        <w:tblPrEx>
          <w:tblLayout w:type="fixed"/>
          <w:tblCellMar>
            <w:top w:w="0" w:type="dxa"/>
            <w:left w:w="108" w:type="dxa"/>
            <w:bottom w:w="0" w:type="dxa"/>
            <w:right w:w="108" w:type="dxa"/>
          </w:tblCellMar>
        </w:tblPrEx>
        <w:trPr>
          <w:trHeight w:val="510" w:hRule="atLeast"/>
        </w:trPr>
        <w:tc>
          <w:tcPr>
            <w:tcW w:w="724" w:type="dxa"/>
            <w:vMerge w:val="continue"/>
            <w:tcBorders>
              <w:top w:val="nil"/>
              <w:left w:val="single" w:color="auto" w:sz="4" w:space="0"/>
              <w:bottom w:val="nil"/>
              <w:right w:val="single" w:color="auto" w:sz="4" w:space="0"/>
            </w:tcBorders>
            <w:vAlign w:val="center"/>
          </w:tcPr>
          <w:p>
            <w:pPr>
              <w:widowControl/>
              <w:jc w:val="center"/>
              <w:rPr>
                <w:rFonts w:hint="eastAsia" w:ascii="仿宋_GB2312" w:hAnsi="宋体" w:eastAsia="仿宋_GB2312" w:cs="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专业拓展课程</w:t>
            </w:r>
          </w:p>
        </w:tc>
        <w:tc>
          <w:tcPr>
            <w:tcW w:w="686"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10</w:t>
            </w:r>
          </w:p>
        </w:tc>
        <w:tc>
          <w:tcPr>
            <w:tcW w:w="886"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170</w:t>
            </w:r>
          </w:p>
        </w:tc>
        <w:tc>
          <w:tcPr>
            <w:tcW w:w="886"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170</w:t>
            </w:r>
          </w:p>
        </w:tc>
        <w:tc>
          <w:tcPr>
            <w:tcW w:w="950"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6.37%</w:t>
            </w:r>
          </w:p>
        </w:tc>
        <w:tc>
          <w:tcPr>
            <w:tcW w:w="969"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6.37%</w:t>
            </w:r>
          </w:p>
        </w:tc>
        <w:tc>
          <w:tcPr>
            <w:tcW w:w="1193"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eastAsia="仿宋_GB2312"/>
                <w:sz w:val="18"/>
                <w:szCs w:val="18"/>
              </w:rPr>
            </w:pPr>
            <w:r>
              <w:rPr>
                <w:rFonts w:hint="eastAsia" w:ascii="仿宋_GB2312" w:eastAsia="仿宋_GB2312"/>
                <w:sz w:val="18"/>
                <w:szCs w:val="18"/>
              </w:rPr>
              <w:t>50</w:t>
            </w:r>
          </w:p>
        </w:tc>
        <w:tc>
          <w:tcPr>
            <w:tcW w:w="1627"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eastAsia="仿宋_GB2312"/>
                <w:sz w:val="18"/>
                <w:szCs w:val="18"/>
              </w:rPr>
            </w:pPr>
            <w:r>
              <w:rPr>
                <w:rFonts w:hint="eastAsia" w:ascii="仿宋_GB2312" w:eastAsia="仿宋_GB2312"/>
                <w:sz w:val="18"/>
                <w:szCs w:val="18"/>
              </w:rPr>
              <w:t>1.87%</w:t>
            </w:r>
          </w:p>
        </w:tc>
      </w:tr>
      <w:tr>
        <w:tblPrEx>
          <w:tblLayout w:type="fixed"/>
          <w:tblCellMar>
            <w:top w:w="0" w:type="dxa"/>
            <w:left w:w="108" w:type="dxa"/>
            <w:bottom w:w="0" w:type="dxa"/>
            <w:right w:w="108" w:type="dxa"/>
          </w:tblCellMar>
        </w:tblPrEx>
        <w:trPr>
          <w:trHeight w:val="499"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教育实践</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教育实践</w:t>
            </w:r>
          </w:p>
        </w:tc>
        <w:tc>
          <w:tcPr>
            <w:tcW w:w="686"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26</w:t>
            </w:r>
          </w:p>
        </w:tc>
        <w:tc>
          <w:tcPr>
            <w:tcW w:w="886"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628</w:t>
            </w:r>
          </w:p>
        </w:tc>
        <w:tc>
          <w:tcPr>
            <w:tcW w:w="886"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628</w:t>
            </w:r>
          </w:p>
        </w:tc>
        <w:tc>
          <w:tcPr>
            <w:tcW w:w="950"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23.54%</w:t>
            </w:r>
          </w:p>
        </w:tc>
        <w:tc>
          <w:tcPr>
            <w:tcW w:w="969"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23.54%</w:t>
            </w:r>
          </w:p>
        </w:tc>
        <w:tc>
          <w:tcPr>
            <w:tcW w:w="1193"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eastAsia="仿宋_GB2312"/>
                <w:sz w:val="18"/>
                <w:szCs w:val="18"/>
              </w:rPr>
            </w:pPr>
            <w:r>
              <w:rPr>
                <w:rFonts w:hint="eastAsia" w:ascii="仿宋_GB2312" w:eastAsia="仿宋_GB2312"/>
                <w:sz w:val="18"/>
                <w:szCs w:val="18"/>
              </w:rPr>
              <w:t>526</w:t>
            </w:r>
          </w:p>
        </w:tc>
        <w:tc>
          <w:tcPr>
            <w:tcW w:w="1627"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eastAsia="仿宋_GB2312"/>
                <w:sz w:val="18"/>
                <w:szCs w:val="18"/>
              </w:rPr>
            </w:pPr>
            <w:r>
              <w:rPr>
                <w:rFonts w:hint="eastAsia" w:ascii="仿宋_GB2312" w:eastAsia="仿宋_GB2312"/>
                <w:sz w:val="18"/>
                <w:szCs w:val="18"/>
              </w:rPr>
              <w:t>19.72%</w:t>
            </w:r>
          </w:p>
        </w:tc>
      </w:tr>
      <w:tr>
        <w:tblPrEx>
          <w:tblLayout w:type="fixed"/>
          <w:tblCellMar>
            <w:top w:w="0" w:type="dxa"/>
            <w:left w:w="108" w:type="dxa"/>
            <w:bottom w:w="0" w:type="dxa"/>
            <w:right w:w="108" w:type="dxa"/>
          </w:tblCellMar>
        </w:tblPrEx>
        <w:trPr>
          <w:trHeight w:val="285" w:hRule="atLeast"/>
        </w:trPr>
        <w:tc>
          <w:tcPr>
            <w:tcW w:w="228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合计</w:t>
            </w:r>
          </w:p>
        </w:tc>
        <w:tc>
          <w:tcPr>
            <w:tcW w:w="68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146</w:t>
            </w:r>
          </w:p>
        </w:tc>
        <w:tc>
          <w:tcPr>
            <w:tcW w:w="886"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2668</w:t>
            </w:r>
          </w:p>
        </w:tc>
        <w:tc>
          <w:tcPr>
            <w:tcW w:w="886"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2668</w:t>
            </w:r>
          </w:p>
        </w:tc>
        <w:tc>
          <w:tcPr>
            <w:tcW w:w="950"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2668</w:t>
            </w:r>
          </w:p>
        </w:tc>
        <w:tc>
          <w:tcPr>
            <w:tcW w:w="969" w:type="dxa"/>
            <w:tcBorders>
              <w:top w:val="nil"/>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100.00%</w:t>
            </w:r>
          </w:p>
        </w:tc>
        <w:tc>
          <w:tcPr>
            <w:tcW w:w="1193"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eastAsia="仿宋_GB2312"/>
                <w:sz w:val="18"/>
                <w:szCs w:val="18"/>
              </w:rPr>
            </w:pPr>
            <w:r>
              <w:rPr>
                <w:rFonts w:hint="eastAsia" w:ascii="仿宋_GB2312" w:eastAsia="仿宋_GB2312"/>
                <w:sz w:val="18"/>
                <w:szCs w:val="18"/>
              </w:rPr>
              <w:t>1369</w:t>
            </w:r>
          </w:p>
        </w:tc>
        <w:tc>
          <w:tcPr>
            <w:tcW w:w="1627"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eastAsia="仿宋_GB2312"/>
                <w:sz w:val="18"/>
                <w:szCs w:val="18"/>
              </w:rPr>
            </w:pPr>
            <w:r>
              <w:rPr>
                <w:rFonts w:hint="eastAsia" w:ascii="仿宋_GB2312" w:eastAsia="仿宋_GB2312"/>
                <w:sz w:val="18"/>
                <w:szCs w:val="18"/>
              </w:rPr>
              <w:t>51.31%</w:t>
            </w:r>
          </w:p>
        </w:tc>
      </w:tr>
    </w:tbl>
    <w:p>
      <w:pPr>
        <w:ind w:firstLine="562" w:firstLineChars="200"/>
        <w:rPr>
          <w:rFonts w:ascii="黑体" w:hAnsi="黑体" w:cs="黑体"/>
          <w:b/>
          <w:bCs/>
          <w:sz w:val="28"/>
          <w:szCs w:val="28"/>
        </w:rPr>
      </w:pPr>
    </w:p>
    <w:p>
      <w:pPr>
        <w:outlineLvl w:val="0"/>
        <w:rPr>
          <w:rFonts w:ascii="黑体" w:hAnsi="黑体" w:eastAsia="黑体" w:cs="宋体"/>
          <w:bCs/>
          <w:sz w:val="24"/>
        </w:rPr>
      </w:pPr>
      <w:r>
        <w:rPr>
          <w:rFonts w:hint="eastAsia" w:ascii="黑体" w:hAnsi="黑体" w:eastAsia="黑体" w:cs="宋体"/>
          <w:bCs/>
          <w:sz w:val="24"/>
        </w:rPr>
        <w:t>八、实施保障</w:t>
      </w:r>
    </w:p>
    <w:p>
      <w:pPr>
        <w:pStyle w:val="128"/>
        <w:ind w:left="570" w:firstLine="0" w:firstLineChars="0"/>
        <w:rPr>
          <w:rFonts w:ascii="仿宋_GB2312" w:hAnsi="宋体" w:eastAsia="仿宋_GB2312" w:cs="宋体"/>
          <w:szCs w:val="21"/>
        </w:rPr>
      </w:pPr>
      <w:r>
        <w:rPr>
          <w:rFonts w:hint="eastAsia" w:ascii="仿宋_GB2312" w:hAnsi="宋体" w:eastAsia="仿宋_GB2312" w:cs="宋体"/>
          <w:szCs w:val="21"/>
        </w:rPr>
        <w:t>（一）师资队伍</w:t>
      </w:r>
    </w:p>
    <w:p>
      <w:pPr>
        <w:pStyle w:val="128"/>
        <w:numPr>
          <w:ilvl w:val="0"/>
          <w:numId w:val="3"/>
        </w:numPr>
        <w:ind w:left="570" w:firstLine="0" w:firstLineChars="0"/>
        <w:rPr>
          <w:rFonts w:ascii="仿宋_GB2312" w:hAnsi="宋体" w:eastAsia="仿宋_GB2312" w:cs="宋体"/>
          <w:szCs w:val="21"/>
        </w:rPr>
      </w:pPr>
      <w:r>
        <w:rPr>
          <w:rFonts w:hint="eastAsia" w:ascii="仿宋_GB2312" w:hAnsi="宋体" w:eastAsia="仿宋_GB2312" w:cs="宋体"/>
          <w:szCs w:val="21"/>
        </w:rPr>
        <w:t>基本情况</w:t>
      </w:r>
    </w:p>
    <w:p>
      <w:pPr>
        <w:pStyle w:val="128"/>
        <w:rPr>
          <w:rFonts w:ascii="仿宋_GB2312" w:hAnsi="宋体" w:eastAsia="仿宋_GB2312" w:cs="宋体"/>
          <w:szCs w:val="21"/>
        </w:rPr>
      </w:pPr>
      <w:r>
        <w:rPr>
          <w:rFonts w:hint="eastAsia" w:ascii="仿宋_GB2312" w:hAnsi="宋体" w:eastAsia="仿宋_GB2312" w:cs="宋体"/>
          <w:szCs w:val="21"/>
        </w:rPr>
        <w:t>截至2019年6月，科学教育专业有专任教师15名，外聘兼职教师6人。专任教师中，具有硕士学位的9人，占专任教师的60%，高级职称5人、中级职称8人、初级职称2人；双师型教师7人，省级教学名师1人，校级教学名师3人，校级专业带头人2人，配备了专职教学秘书。外聘教师中，博士教授2人，博士副教授1人，硕士副教授1人，阜阳市“教坛新星”小学高级教师2人。形成了一支结构</w:t>
      </w:r>
      <w:r>
        <w:rPr>
          <w:rFonts w:hint="eastAsia" w:ascii="仿宋_GB2312" w:hAnsi="宋体" w:eastAsia="仿宋_GB2312" w:cs="宋体"/>
          <w:szCs w:val="21"/>
          <w:lang w:eastAsia="zh-CN"/>
        </w:rPr>
        <w:t>相对</w:t>
      </w:r>
      <w:r>
        <w:rPr>
          <w:rFonts w:hint="eastAsia" w:ascii="仿宋_GB2312" w:hAnsi="宋体" w:eastAsia="仿宋_GB2312" w:cs="宋体"/>
          <w:szCs w:val="21"/>
        </w:rPr>
        <w:t>合理，数量基本充足，教学科研能力强，发展潜力</w:t>
      </w:r>
      <w:r>
        <w:rPr>
          <w:rFonts w:hint="eastAsia" w:ascii="仿宋_GB2312" w:hAnsi="宋体" w:eastAsia="仿宋_GB2312" w:cs="宋体"/>
          <w:szCs w:val="21"/>
          <w:lang w:eastAsia="zh-CN"/>
        </w:rPr>
        <w:t>大</w:t>
      </w:r>
      <w:r>
        <w:rPr>
          <w:rFonts w:hint="eastAsia" w:ascii="仿宋_GB2312" w:hAnsi="宋体" w:eastAsia="仿宋_GB2312" w:cs="宋体"/>
          <w:szCs w:val="21"/>
        </w:rPr>
        <w:t>，专兼职结合的教学团队，该团队——科学教育专业教学团队2018年在安徽省质量工程项目中获批高水平教学团队（项目编号：2018jxtd132）。</w:t>
      </w:r>
    </w:p>
    <w:p>
      <w:pPr>
        <w:pStyle w:val="128"/>
        <w:rPr>
          <w:rFonts w:ascii="仿宋_GB2312" w:hAnsi="宋体" w:eastAsia="仿宋_GB2312" w:cs="宋体"/>
          <w:szCs w:val="21"/>
        </w:rPr>
      </w:pPr>
      <w:r>
        <w:rPr>
          <w:rFonts w:hint="eastAsia" w:ascii="仿宋_GB2312" w:hAnsi="宋体" w:eastAsia="仿宋_GB2312" w:cs="宋体"/>
          <w:szCs w:val="21"/>
        </w:rPr>
        <w:t>2.校内专任教师情况</w:t>
      </w:r>
    </w:p>
    <w:p>
      <w:pPr>
        <w:ind w:firstLine="630" w:firstLineChars="300"/>
        <w:rPr>
          <w:rFonts w:ascii="仿宋_GB2312" w:hAnsi="宋体" w:eastAsia="仿宋_GB2312" w:cs="宋体"/>
          <w:szCs w:val="21"/>
        </w:rPr>
      </w:pPr>
      <w:r>
        <w:rPr>
          <w:rFonts w:hint="eastAsia" w:ascii="仿宋_GB2312" w:hAnsi="宋体" w:eastAsia="仿宋_GB2312" w:cs="宋体"/>
          <w:szCs w:val="21"/>
        </w:rPr>
        <w:t>（1）专业带头人情况</w:t>
      </w:r>
    </w:p>
    <w:p>
      <w:pPr>
        <w:ind w:firstLine="420" w:firstLineChars="200"/>
        <w:rPr>
          <w:rFonts w:ascii="仿宋_GB2312" w:hAnsi="宋体" w:eastAsia="仿宋_GB2312" w:cs="宋体"/>
          <w:szCs w:val="21"/>
        </w:rPr>
      </w:pPr>
      <w:r>
        <w:rPr>
          <w:rFonts w:hint="eastAsia" w:ascii="仿宋_GB2312" w:hAnsi="宋体" w:eastAsia="仿宋_GB2312" w:cs="宋体"/>
          <w:szCs w:val="21"/>
        </w:rPr>
        <w:t>本专业有专业带头人2名，均为副教授职称、硕士学位，其中1人为省级教学名师.。</w:t>
      </w:r>
    </w:p>
    <w:p>
      <w:pPr>
        <w:numPr>
          <w:ilvl w:val="0"/>
          <w:numId w:val="4"/>
        </w:numPr>
        <w:ind w:firstLine="630" w:firstLineChars="300"/>
        <w:rPr>
          <w:rFonts w:ascii="仿宋_GB2312" w:hAnsi="宋体" w:eastAsia="仿宋_GB2312" w:cs="宋体"/>
          <w:szCs w:val="21"/>
        </w:rPr>
      </w:pPr>
      <w:r>
        <w:rPr>
          <w:rFonts w:hint="eastAsia" w:ascii="仿宋_GB2312" w:hAnsi="宋体" w:eastAsia="仿宋_GB2312" w:cs="宋体"/>
          <w:szCs w:val="21"/>
        </w:rPr>
        <w:t>双师素质与骨干教师情况</w:t>
      </w:r>
    </w:p>
    <w:p>
      <w:pPr>
        <w:ind w:firstLine="560"/>
        <w:rPr>
          <w:rFonts w:ascii="仿宋_GB2312" w:hAnsi="宋体" w:eastAsia="仿宋_GB2312" w:cs="宋体"/>
          <w:szCs w:val="21"/>
        </w:rPr>
      </w:pPr>
      <w:r>
        <w:rPr>
          <w:rFonts w:hint="eastAsia" w:ascii="仿宋_GB2312" w:hAnsi="宋体" w:eastAsia="仿宋_GB2312" w:cs="宋体"/>
          <w:szCs w:val="21"/>
        </w:rPr>
        <w:t>本专业有双师型教师7人，占专任教师46.7%。</w:t>
      </w:r>
    </w:p>
    <w:p>
      <w:pPr>
        <w:ind w:firstLine="630" w:firstLineChars="300"/>
        <w:rPr>
          <w:rFonts w:ascii="仿宋_GB2312" w:hAnsi="宋体" w:eastAsia="仿宋_GB2312" w:cs="宋体"/>
          <w:szCs w:val="21"/>
        </w:rPr>
      </w:pPr>
      <w:r>
        <w:rPr>
          <w:rFonts w:hint="eastAsia" w:ascii="仿宋_GB2312" w:hAnsi="宋体" w:eastAsia="仿宋_GB2312" w:cs="宋体"/>
          <w:szCs w:val="21"/>
        </w:rPr>
        <w:t>（3）校外兼职教师情况</w:t>
      </w:r>
    </w:p>
    <w:p>
      <w:pPr>
        <w:ind w:left="630" w:leftChars="300"/>
        <w:rPr>
          <w:rFonts w:ascii="仿宋_GB2312" w:hAnsi="宋体" w:eastAsia="仿宋_GB2312" w:cs="宋体"/>
          <w:szCs w:val="21"/>
        </w:rPr>
      </w:pPr>
      <w:r>
        <w:rPr>
          <w:rFonts w:hint="eastAsia" w:ascii="仿宋_GB2312" w:hAnsi="宋体" w:eastAsia="仿宋_GB2312" w:cs="宋体"/>
          <w:szCs w:val="21"/>
        </w:rPr>
        <w:t>校外兼职教师6人，其中博士教授2人，博士副教授1人，硕士副教授1人，阜阳市“教坛新星”小学高级教师2人。</w:t>
      </w:r>
    </w:p>
    <w:p>
      <w:pPr>
        <w:ind w:firstLine="315" w:firstLineChars="150"/>
        <w:rPr>
          <w:rFonts w:ascii="仿宋_GB2312" w:hAnsi="宋体" w:eastAsia="仿宋_GB2312" w:cs="宋体"/>
          <w:szCs w:val="21"/>
        </w:rPr>
      </w:pPr>
      <w:r>
        <w:rPr>
          <w:rFonts w:hint="eastAsia" w:ascii="仿宋_GB2312" w:hAnsi="宋体" w:eastAsia="仿宋_GB2312" w:cs="宋体"/>
          <w:szCs w:val="21"/>
        </w:rPr>
        <w:t>（二）教学设施</w:t>
      </w:r>
    </w:p>
    <w:p>
      <w:pPr>
        <w:ind w:firstLine="420" w:firstLineChars="200"/>
        <w:rPr>
          <w:rFonts w:ascii="仿宋_GB2312" w:hAnsi="宋体" w:eastAsia="仿宋_GB2312" w:cs="宋体"/>
          <w:szCs w:val="21"/>
        </w:rPr>
      </w:pPr>
      <w:r>
        <w:rPr>
          <w:rFonts w:hint="eastAsia" w:ascii="仿宋_GB2312" w:hAnsi="宋体" w:eastAsia="仿宋_GB2312" w:cs="宋体"/>
          <w:szCs w:val="21"/>
        </w:rPr>
        <w:t>目前，科学教育专业共有3个科学基础实验实训室，一个科技馆，由学校的微格教室、语音室、计算机房等可共享，2017年获批安徽省质量工程项目重点项目示范实验实训中心项目——科学实验实训室（项目编号：2017sxzx91)，该项目中的“创客实验室、激光切割、数字成形实验室、逆向工程实训室”正在建设中，另有“地球与空间科学实训室，实验设计与教具制作室”等项目已列入下一年计划中，通过建设完全能够满足科学教育专业相应课程和实验实训的教学科研需要。</w:t>
      </w:r>
    </w:p>
    <w:p>
      <w:pPr>
        <w:ind w:firstLine="420" w:firstLineChars="200"/>
        <w:rPr>
          <w:rFonts w:ascii="仿宋_GB2312" w:hAnsi="宋体" w:eastAsia="仿宋_GB2312" w:cs="宋体"/>
          <w:szCs w:val="21"/>
        </w:rPr>
      </w:pPr>
      <w:r>
        <w:rPr>
          <w:rFonts w:hint="eastAsia" w:ascii="仿宋_GB2312" w:hAnsi="宋体" w:eastAsia="仿宋_GB2312" w:cs="宋体"/>
          <w:szCs w:val="21"/>
        </w:rPr>
        <w:t>本专业在阜阳市及三区合作建立了小学教育实习实训基地12家，与阜阳市附属小学、北城小学、阜纺小学、莲池小学、颍南小学、鼓楼小学、东城小学等7家建有“紧密合作型”校外教育实践基地，能有效满足各类型实践、实训的需求。</w:t>
      </w:r>
    </w:p>
    <w:p>
      <w:pPr>
        <w:ind w:firstLine="315" w:firstLineChars="150"/>
        <w:rPr>
          <w:rFonts w:ascii="仿宋_GB2312" w:hAnsi="宋体" w:eastAsia="仿宋_GB2312" w:cs="宋体"/>
          <w:szCs w:val="21"/>
        </w:rPr>
      </w:pPr>
      <w:r>
        <w:rPr>
          <w:rFonts w:hint="eastAsia" w:ascii="仿宋_GB2312" w:hAnsi="宋体" w:eastAsia="仿宋_GB2312" w:cs="宋体"/>
          <w:szCs w:val="21"/>
        </w:rPr>
        <w:t>1.校内实训室</w:t>
      </w:r>
    </w:p>
    <w:p>
      <w:pPr>
        <w:ind w:firstLine="420" w:firstLineChars="200"/>
        <w:rPr>
          <w:rFonts w:ascii="仿宋_GB2312" w:hAnsi="宋体" w:eastAsia="仿宋_GB2312" w:cs="宋体"/>
          <w:szCs w:val="21"/>
        </w:rPr>
      </w:pPr>
      <w:r>
        <w:rPr>
          <w:rFonts w:hint="eastAsia" w:ascii="仿宋_GB2312" w:hAnsi="宋体" w:eastAsia="仿宋_GB2312" w:cs="宋体"/>
          <w:szCs w:val="21"/>
        </w:rPr>
        <w:t>建有理化生等3个校内实训室和一个校园科技馆。实训室功能分析如下：</w:t>
      </w:r>
    </w:p>
    <w:tbl>
      <w:tblPr>
        <w:tblStyle w:val="21"/>
        <w:tblW w:w="90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98"/>
        <w:gridCol w:w="2509"/>
        <w:gridCol w:w="2558"/>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770"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序号</w:t>
            </w:r>
          </w:p>
        </w:tc>
        <w:tc>
          <w:tcPr>
            <w:tcW w:w="1598"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校内实训室名称</w:t>
            </w:r>
          </w:p>
        </w:tc>
        <w:tc>
          <w:tcPr>
            <w:tcW w:w="2509"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主要设备</w:t>
            </w:r>
          </w:p>
        </w:tc>
        <w:tc>
          <w:tcPr>
            <w:tcW w:w="2558"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主要功能</w:t>
            </w:r>
          </w:p>
        </w:tc>
        <w:tc>
          <w:tcPr>
            <w:tcW w:w="1620"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适用课程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jc w:val="center"/>
        </w:trPr>
        <w:tc>
          <w:tcPr>
            <w:tcW w:w="770"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1</w:t>
            </w:r>
          </w:p>
        </w:tc>
        <w:tc>
          <w:tcPr>
            <w:tcW w:w="1598" w:type="dxa"/>
            <w:shd w:val="clear" w:color="auto" w:fill="auto"/>
          </w:tcPr>
          <w:p>
            <w:pPr>
              <w:jc w:val="center"/>
              <w:rPr>
                <w:rFonts w:hint="eastAsia" w:ascii="仿宋_GB2312" w:hAnsi="宋体" w:eastAsia="仿宋_GB2312"/>
                <w:bCs/>
                <w:sz w:val="18"/>
                <w:szCs w:val="18"/>
              </w:rPr>
            </w:pPr>
          </w:p>
          <w:p>
            <w:pPr>
              <w:jc w:val="center"/>
              <w:rPr>
                <w:rFonts w:hint="eastAsia" w:ascii="仿宋_GB2312" w:hAnsi="宋体" w:eastAsia="仿宋_GB2312"/>
                <w:bCs/>
                <w:sz w:val="18"/>
                <w:szCs w:val="18"/>
              </w:rPr>
            </w:pPr>
            <w:r>
              <w:rPr>
                <w:rFonts w:hint="eastAsia" w:ascii="仿宋_GB2312" w:hAnsi="宋体" w:eastAsia="仿宋_GB2312"/>
                <w:bCs/>
                <w:sz w:val="18"/>
                <w:szCs w:val="18"/>
              </w:rPr>
              <w:t>物理实验室</w:t>
            </w:r>
          </w:p>
        </w:tc>
        <w:tc>
          <w:tcPr>
            <w:tcW w:w="2509"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力学、热学、电学等实验仪器设备、教具等</w:t>
            </w:r>
          </w:p>
        </w:tc>
        <w:tc>
          <w:tcPr>
            <w:tcW w:w="2558"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承担全校中职与大专物理课程实验教学任务</w:t>
            </w:r>
            <w:r>
              <w:rPr>
                <w:rFonts w:hint="eastAsia" w:ascii="仿宋_GB2312" w:hAnsi="宋体" w:eastAsia="仿宋_GB2312"/>
                <w:bCs/>
                <w:sz w:val="18"/>
                <w:szCs w:val="18"/>
                <w:lang w:eastAsia="zh-CN"/>
              </w:rPr>
              <w:t>，</w:t>
            </w:r>
            <w:r>
              <w:rPr>
                <w:rFonts w:hint="eastAsia" w:ascii="仿宋_GB2312" w:hAnsi="宋体" w:eastAsia="仿宋_GB2312"/>
                <w:bCs/>
                <w:sz w:val="18"/>
                <w:szCs w:val="18"/>
              </w:rPr>
              <w:t>科普社团活动场所</w:t>
            </w:r>
          </w:p>
        </w:tc>
        <w:tc>
          <w:tcPr>
            <w:tcW w:w="1620"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普通物理、科学实验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770"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2</w:t>
            </w:r>
          </w:p>
        </w:tc>
        <w:tc>
          <w:tcPr>
            <w:tcW w:w="1598" w:type="dxa"/>
            <w:shd w:val="clear" w:color="auto" w:fill="auto"/>
          </w:tcPr>
          <w:p>
            <w:pPr>
              <w:jc w:val="center"/>
              <w:rPr>
                <w:rFonts w:hint="eastAsia" w:ascii="仿宋_GB2312" w:hAnsi="宋体" w:eastAsia="仿宋_GB2312"/>
                <w:bCs/>
                <w:sz w:val="18"/>
                <w:szCs w:val="18"/>
              </w:rPr>
            </w:pPr>
          </w:p>
          <w:p>
            <w:pPr>
              <w:jc w:val="center"/>
              <w:rPr>
                <w:rFonts w:hint="eastAsia" w:ascii="仿宋_GB2312" w:hAnsi="宋体" w:eastAsia="仿宋_GB2312"/>
                <w:bCs/>
                <w:sz w:val="18"/>
                <w:szCs w:val="18"/>
              </w:rPr>
            </w:pPr>
            <w:r>
              <w:rPr>
                <w:rFonts w:hint="eastAsia" w:ascii="仿宋_GB2312" w:hAnsi="宋体" w:eastAsia="仿宋_GB2312"/>
                <w:bCs/>
                <w:sz w:val="18"/>
                <w:szCs w:val="18"/>
              </w:rPr>
              <w:t>化学实验室</w:t>
            </w:r>
          </w:p>
        </w:tc>
        <w:tc>
          <w:tcPr>
            <w:tcW w:w="2509"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化学实验仪器、药品、设备、教具等</w:t>
            </w:r>
          </w:p>
        </w:tc>
        <w:tc>
          <w:tcPr>
            <w:tcW w:w="2558"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承担全校中职与大专化学课程实验教学任务</w:t>
            </w:r>
            <w:r>
              <w:rPr>
                <w:rFonts w:hint="eastAsia" w:ascii="仿宋_GB2312" w:hAnsi="宋体" w:eastAsia="仿宋_GB2312"/>
                <w:bCs/>
                <w:sz w:val="18"/>
                <w:szCs w:val="18"/>
                <w:lang w:eastAsia="zh-CN"/>
              </w:rPr>
              <w:t>，</w:t>
            </w:r>
            <w:r>
              <w:rPr>
                <w:rFonts w:hint="eastAsia" w:ascii="仿宋_GB2312" w:hAnsi="宋体" w:eastAsia="仿宋_GB2312"/>
                <w:bCs/>
                <w:sz w:val="18"/>
                <w:szCs w:val="18"/>
              </w:rPr>
              <w:t>科普社团活动场所，</w:t>
            </w:r>
          </w:p>
        </w:tc>
        <w:tc>
          <w:tcPr>
            <w:tcW w:w="1620"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普通化学、科学实验、少儿健康教育等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770"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3</w:t>
            </w:r>
          </w:p>
        </w:tc>
        <w:tc>
          <w:tcPr>
            <w:tcW w:w="1598" w:type="dxa"/>
            <w:shd w:val="clear" w:color="auto" w:fill="auto"/>
          </w:tcPr>
          <w:p>
            <w:pPr>
              <w:jc w:val="center"/>
              <w:rPr>
                <w:rFonts w:hint="eastAsia" w:ascii="仿宋_GB2312" w:hAnsi="宋体" w:eastAsia="仿宋_GB2312"/>
                <w:bCs/>
                <w:sz w:val="18"/>
                <w:szCs w:val="18"/>
              </w:rPr>
            </w:pPr>
          </w:p>
          <w:p>
            <w:pPr>
              <w:jc w:val="center"/>
              <w:rPr>
                <w:rFonts w:hint="eastAsia" w:ascii="仿宋_GB2312" w:hAnsi="宋体" w:eastAsia="仿宋_GB2312"/>
                <w:bCs/>
                <w:sz w:val="18"/>
                <w:szCs w:val="18"/>
              </w:rPr>
            </w:pPr>
            <w:r>
              <w:rPr>
                <w:rFonts w:hint="eastAsia" w:ascii="仿宋_GB2312" w:hAnsi="宋体" w:eastAsia="仿宋_GB2312"/>
                <w:bCs/>
                <w:sz w:val="18"/>
                <w:szCs w:val="18"/>
              </w:rPr>
              <w:t>生物实验室</w:t>
            </w:r>
          </w:p>
        </w:tc>
        <w:tc>
          <w:tcPr>
            <w:tcW w:w="2509"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生物实验仪器、药品、设备、教具等</w:t>
            </w:r>
          </w:p>
        </w:tc>
        <w:tc>
          <w:tcPr>
            <w:tcW w:w="2558"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承担全校中职与大专生物课程实验教学任务，科普社团活动场所</w:t>
            </w:r>
          </w:p>
        </w:tc>
        <w:tc>
          <w:tcPr>
            <w:tcW w:w="1620"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生命科学、科学实验、少儿健康教育等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770"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4</w:t>
            </w:r>
          </w:p>
        </w:tc>
        <w:tc>
          <w:tcPr>
            <w:tcW w:w="1598" w:type="dxa"/>
            <w:shd w:val="clear" w:color="auto" w:fill="auto"/>
          </w:tcPr>
          <w:p>
            <w:pPr>
              <w:jc w:val="center"/>
              <w:rPr>
                <w:rFonts w:hint="eastAsia" w:ascii="仿宋_GB2312" w:hAnsi="宋体" w:eastAsia="仿宋_GB2312"/>
                <w:bCs/>
                <w:sz w:val="18"/>
                <w:szCs w:val="18"/>
              </w:rPr>
            </w:pPr>
          </w:p>
          <w:p>
            <w:pPr>
              <w:jc w:val="center"/>
              <w:rPr>
                <w:rFonts w:hint="eastAsia" w:ascii="仿宋_GB2312" w:hAnsi="宋体" w:eastAsia="仿宋_GB2312"/>
                <w:bCs/>
                <w:sz w:val="18"/>
                <w:szCs w:val="18"/>
              </w:rPr>
            </w:pPr>
            <w:r>
              <w:rPr>
                <w:rFonts w:hint="eastAsia" w:ascii="仿宋_GB2312" w:hAnsi="宋体" w:eastAsia="仿宋_GB2312"/>
                <w:bCs/>
                <w:sz w:val="18"/>
                <w:szCs w:val="18"/>
              </w:rPr>
              <w:t>校园科技馆</w:t>
            </w:r>
          </w:p>
        </w:tc>
        <w:tc>
          <w:tcPr>
            <w:tcW w:w="2509"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参与、体验、、互动性的展品及辅助型展示设备</w:t>
            </w:r>
          </w:p>
        </w:tc>
        <w:tc>
          <w:tcPr>
            <w:tcW w:w="2558"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科普教育、科技传播、科学文化交流、科普社团活动场所</w:t>
            </w:r>
          </w:p>
        </w:tc>
        <w:tc>
          <w:tcPr>
            <w:tcW w:w="1620"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普通物理、普通化学、生命科学、科学技术与社会、</w:t>
            </w:r>
            <w:r>
              <w:rPr>
                <w:rFonts w:hint="eastAsia" w:ascii="仿宋_GB2312" w:hAnsi="宋体" w:eastAsia="仿宋_GB2312"/>
                <w:bCs/>
                <w:sz w:val="18"/>
                <w:szCs w:val="18"/>
                <w:lang w:eastAsia="zh-CN"/>
              </w:rPr>
              <w:t>地球与空间额学</w:t>
            </w:r>
            <w:r>
              <w:rPr>
                <w:rFonts w:hint="eastAsia" w:ascii="仿宋_GB2312" w:hAnsi="宋体" w:eastAsia="仿宋_GB2312"/>
                <w:bCs/>
                <w:sz w:val="18"/>
                <w:szCs w:val="18"/>
              </w:rPr>
              <w:t>等</w:t>
            </w:r>
          </w:p>
        </w:tc>
      </w:tr>
    </w:tbl>
    <w:p>
      <w:pPr>
        <w:ind w:firstLine="420" w:firstLineChars="200"/>
        <w:rPr>
          <w:rFonts w:ascii="仿宋_GB2312" w:hAnsi="宋体" w:eastAsia="仿宋_GB2312" w:cs="宋体"/>
          <w:szCs w:val="21"/>
        </w:rPr>
      </w:pPr>
      <w:r>
        <w:rPr>
          <w:rFonts w:hint="eastAsia" w:ascii="仿宋_GB2312" w:hAnsi="宋体" w:eastAsia="仿宋_GB2312" w:cs="宋体"/>
          <w:szCs w:val="21"/>
        </w:rPr>
        <w:t>2.校外实训基地</w:t>
      </w:r>
    </w:p>
    <w:p>
      <w:pPr>
        <w:ind w:firstLine="420" w:firstLineChars="200"/>
        <w:rPr>
          <w:rFonts w:ascii="仿宋_GB2312" w:hAnsi="宋体" w:eastAsia="仿宋_GB2312" w:cs="宋体"/>
          <w:szCs w:val="21"/>
        </w:rPr>
      </w:pPr>
      <w:r>
        <w:rPr>
          <w:rFonts w:hint="eastAsia" w:ascii="仿宋_GB2312" w:hAnsi="宋体" w:eastAsia="仿宋_GB2312" w:cs="宋体"/>
          <w:szCs w:val="21"/>
        </w:rPr>
        <w:t>通过校企合作，与12家小学签订合作协议，建成稳定的校外实训基地，部分基地情况如下表。</w:t>
      </w:r>
    </w:p>
    <w:tbl>
      <w:tblPr>
        <w:tblStyle w:val="21"/>
        <w:tblW w:w="9585" w:type="dxa"/>
        <w:jc w:val="center"/>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8"/>
        <w:gridCol w:w="1670"/>
        <w:gridCol w:w="2672"/>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683"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序号</w:t>
            </w:r>
          </w:p>
        </w:tc>
        <w:tc>
          <w:tcPr>
            <w:tcW w:w="1728"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实训基地名称</w:t>
            </w:r>
          </w:p>
        </w:tc>
        <w:tc>
          <w:tcPr>
            <w:tcW w:w="1670"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主要实训项目</w:t>
            </w:r>
          </w:p>
        </w:tc>
        <w:tc>
          <w:tcPr>
            <w:tcW w:w="2672"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实训设备</w:t>
            </w:r>
          </w:p>
        </w:tc>
        <w:tc>
          <w:tcPr>
            <w:tcW w:w="2832"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683"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1</w:t>
            </w:r>
          </w:p>
        </w:tc>
        <w:tc>
          <w:tcPr>
            <w:tcW w:w="1728"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阜阳市北城小学</w:t>
            </w:r>
          </w:p>
        </w:tc>
        <w:tc>
          <w:tcPr>
            <w:tcW w:w="1670"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教育实习、见习</w:t>
            </w:r>
          </w:p>
        </w:tc>
        <w:tc>
          <w:tcPr>
            <w:tcW w:w="2672"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教室、图书室、实验室等</w:t>
            </w:r>
          </w:p>
        </w:tc>
        <w:tc>
          <w:tcPr>
            <w:tcW w:w="2832"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小学教师+校内巡回指导教师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683"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2</w:t>
            </w:r>
          </w:p>
        </w:tc>
        <w:tc>
          <w:tcPr>
            <w:tcW w:w="1728"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阜阳市颍州区颍南小学</w:t>
            </w:r>
          </w:p>
        </w:tc>
        <w:tc>
          <w:tcPr>
            <w:tcW w:w="1670"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教育实习、见习</w:t>
            </w:r>
          </w:p>
        </w:tc>
        <w:tc>
          <w:tcPr>
            <w:tcW w:w="2672"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教室、图书室、实验室等</w:t>
            </w:r>
          </w:p>
        </w:tc>
        <w:tc>
          <w:tcPr>
            <w:tcW w:w="2832"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小学教师+校内巡回指导教师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683"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3</w:t>
            </w:r>
          </w:p>
        </w:tc>
        <w:tc>
          <w:tcPr>
            <w:tcW w:w="1728"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阜阳市清河路第一小学</w:t>
            </w:r>
          </w:p>
        </w:tc>
        <w:tc>
          <w:tcPr>
            <w:tcW w:w="1670"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教育实习、见习</w:t>
            </w:r>
          </w:p>
        </w:tc>
        <w:tc>
          <w:tcPr>
            <w:tcW w:w="2672"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教室、图书室、实验室等</w:t>
            </w:r>
          </w:p>
        </w:tc>
        <w:tc>
          <w:tcPr>
            <w:tcW w:w="2832"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小学教师+校内巡回指导教师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683"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4</w:t>
            </w:r>
          </w:p>
        </w:tc>
        <w:tc>
          <w:tcPr>
            <w:tcW w:w="1728"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阜阳市附属小学</w:t>
            </w:r>
          </w:p>
        </w:tc>
        <w:tc>
          <w:tcPr>
            <w:tcW w:w="1670"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教育实习、见习</w:t>
            </w:r>
          </w:p>
        </w:tc>
        <w:tc>
          <w:tcPr>
            <w:tcW w:w="2672"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教室、图书室、实验室等</w:t>
            </w:r>
          </w:p>
        </w:tc>
        <w:tc>
          <w:tcPr>
            <w:tcW w:w="2832"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小学教师++校内巡回指导教师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8" w:hRule="atLeast"/>
          <w:jc w:val="center"/>
        </w:trPr>
        <w:tc>
          <w:tcPr>
            <w:tcW w:w="683" w:type="dxa"/>
            <w:shd w:val="clear" w:color="auto" w:fill="auto"/>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5</w:t>
            </w:r>
          </w:p>
        </w:tc>
        <w:tc>
          <w:tcPr>
            <w:tcW w:w="1728" w:type="dxa"/>
            <w:shd w:val="clear" w:color="auto" w:fill="auto"/>
          </w:tcPr>
          <w:p>
            <w:pPr>
              <w:rPr>
                <w:rFonts w:hint="eastAsia" w:ascii="仿宋_GB2312" w:hAnsi="宋体" w:eastAsia="仿宋_GB2312"/>
                <w:bCs/>
                <w:sz w:val="18"/>
                <w:szCs w:val="18"/>
              </w:rPr>
            </w:pPr>
          </w:p>
          <w:p>
            <w:pPr>
              <w:rPr>
                <w:rFonts w:hint="eastAsia" w:ascii="仿宋_GB2312" w:hAnsi="宋体" w:eastAsia="仿宋_GB2312"/>
                <w:bCs/>
                <w:sz w:val="18"/>
                <w:szCs w:val="18"/>
              </w:rPr>
            </w:pPr>
            <w:r>
              <w:rPr>
                <w:rFonts w:hint="eastAsia" w:ascii="仿宋_GB2312" w:hAnsi="宋体" w:eastAsia="仿宋_GB2312"/>
                <w:bCs/>
                <w:sz w:val="18"/>
                <w:szCs w:val="18"/>
              </w:rPr>
              <w:t>阜阳金种子酒厂</w:t>
            </w:r>
          </w:p>
        </w:tc>
        <w:tc>
          <w:tcPr>
            <w:tcW w:w="1670"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学习酿酒原理，参观酿酒流程，体验企业文化</w:t>
            </w:r>
          </w:p>
        </w:tc>
        <w:tc>
          <w:tcPr>
            <w:tcW w:w="2672"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酿酒设备</w:t>
            </w:r>
          </w:p>
        </w:tc>
        <w:tc>
          <w:tcPr>
            <w:tcW w:w="2832" w:type="dxa"/>
            <w:shd w:val="clear" w:color="auto" w:fill="auto"/>
          </w:tcPr>
          <w:p>
            <w:pPr>
              <w:rPr>
                <w:rFonts w:hint="eastAsia" w:ascii="仿宋_GB2312" w:hAnsi="宋体" w:eastAsia="仿宋_GB2312"/>
                <w:bCs/>
                <w:sz w:val="18"/>
                <w:szCs w:val="18"/>
              </w:rPr>
            </w:pPr>
            <w:r>
              <w:rPr>
                <w:rFonts w:hint="eastAsia" w:ascii="仿宋_GB2312" w:hAnsi="宋体" w:eastAsia="仿宋_GB2312"/>
                <w:bCs/>
                <w:sz w:val="18"/>
                <w:szCs w:val="18"/>
              </w:rPr>
              <w:t>企业+校内巡回指导教师</w:t>
            </w:r>
          </w:p>
        </w:tc>
      </w:tr>
    </w:tbl>
    <w:p>
      <w:pPr>
        <w:ind w:firstLine="420" w:firstLineChars="200"/>
        <w:rPr>
          <w:rFonts w:ascii="仿宋_GB2312" w:hAnsi="宋体" w:eastAsia="仿宋_GB2312" w:cs="宋体"/>
          <w:szCs w:val="21"/>
        </w:rPr>
      </w:pPr>
      <w:r>
        <w:rPr>
          <w:rFonts w:hint="eastAsia" w:ascii="仿宋_GB2312" w:hAnsi="宋体" w:eastAsia="仿宋_GB2312" w:cs="宋体"/>
          <w:szCs w:val="21"/>
        </w:rPr>
        <w:t>（三）教学资源</w:t>
      </w:r>
    </w:p>
    <w:p>
      <w:pPr>
        <w:pStyle w:val="128"/>
        <w:ind w:left="570" w:firstLine="0" w:firstLineChars="0"/>
        <w:rPr>
          <w:rFonts w:ascii="仿宋_GB2312" w:hAnsi="宋体" w:eastAsia="仿宋_GB2312" w:cs="宋体"/>
          <w:szCs w:val="21"/>
        </w:rPr>
      </w:pPr>
      <w:r>
        <w:rPr>
          <w:rFonts w:hint="eastAsia" w:ascii="仿宋_GB2312" w:hAnsi="宋体" w:eastAsia="仿宋_GB2312" w:cs="宋体"/>
          <w:szCs w:val="21"/>
        </w:rPr>
        <w:t>1.教材使用及开发情况</w:t>
      </w:r>
    </w:p>
    <w:p>
      <w:pPr>
        <w:ind w:firstLine="420" w:firstLineChars="200"/>
        <w:rPr>
          <w:rFonts w:ascii="仿宋_GB2312" w:hAnsi="宋体" w:eastAsia="仿宋_GB2312" w:cs="宋体"/>
          <w:szCs w:val="21"/>
        </w:rPr>
      </w:pPr>
      <w:r>
        <w:rPr>
          <w:rFonts w:hint="eastAsia" w:ascii="仿宋_GB2312" w:hAnsi="宋体" w:eastAsia="仿宋_GB2312" w:cs="宋体"/>
          <w:szCs w:val="21"/>
        </w:rPr>
        <w:t>使用教材中，以最近五年内出版的国家、省级高等职业教育规划教材为主，兼用本校教师自编特色教材。选用教材须经过学校教学委员会审定。</w:t>
      </w:r>
    </w:p>
    <w:p>
      <w:pPr>
        <w:ind w:left="570"/>
        <w:rPr>
          <w:rFonts w:ascii="仿宋_GB2312" w:hAnsi="宋体" w:eastAsia="仿宋_GB2312" w:cs="宋体"/>
          <w:szCs w:val="21"/>
        </w:rPr>
      </w:pPr>
      <w:r>
        <w:rPr>
          <w:rFonts w:hint="eastAsia" w:ascii="仿宋_GB2312" w:hAnsi="宋体" w:eastAsia="仿宋_GB2312" w:cs="宋体"/>
          <w:szCs w:val="21"/>
        </w:rPr>
        <w:t>2.图书</w:t>
      </w:r>
    </w:p>
    <w:p>
      <w:pPr>
        <w:ind w:firstLine="420" w:firstLineChars="200"/>
        <w:rPr>
          <w:rFonts w:ascii="仿宋_GB2312" w:hAnsi="宋体" w:eastAsia="仿宋_GB2312" w:cs="宋体"/>
          <w:szCs w:val="21"/>
        </w:rPr>
      </w:pPr>
      <w:r>
        <w:rPr>
          <w:rFonts w:hint="eastAsia" w:ascii="仿宋_GB2312" w:hAnsi="宋体" w:eastAsia="仿宋_GB2312" w:cs="宋体"/>
          <w:szCs w:val="21"/>
        </w:rPr>
        <w:t>学校现有图书资料中，适用于科学教育专业的图书资料约为20万册，学科覆盖面较广，可满足教育教学和科学研究的基本需要。与北京师范大学、东北师范大学合作共建了丰富的教学电子资源、专业资源数据库。与专业有关的各类图书生均册数达到教育部相应的规定要求。学校为图书馆建有一定数量的电子阅览室。</w:t>
      </w:r>
    </w:p>
    <w:p>
      <w:pPr>
        <w:pStyle w:val="128"/>
        <w:rPr>
          <w:rFonts w:ascii="仿宋_GB2312" w:hAnsi="宋体" w:eastAsia="仿宋_GB2312" w:cs="宋体"/>
          <w:szCs w:val="21"/>
        </w:rPr>
      </w:pPr>
      <w:r>
        <w:rPr>
          <w:rFonts w:hint="eastAsia" w:ascii="仿宋_GB2312" w:hAnsi="宋体" w:eastAsia="仿宋_GB2312" w:cs="宋体"/>
          <w:szCs w:val="21"/>
        </w:rPr>
        <w:t>3.数字化教学资源建设与使用情况</w:t>
      </w:r>
    </w:p>
    <w:p>
      <w:pPr>
        <w:ind w:firstLine="420" w:firstLineChars="200"/>
        <w:rPr>
          <w:rFonts w:ascii="仿宋_GB2312" w:hAnsi="宋体" w:eastAsia="仿宋_GB2312" w:cs="宋体"/>
          <w:szCs w:val="21"/>
        </w:rPr>
      </w:pPr>
      <w:r>
        <w:rPr>
          <w:rFonts w:hint="eastAsia" w:ascii="仿宋_GB2312" w:hAnsi="宋体" w:eastAsia="仿宋_GB2312" w:cs="宋体"/>
          <w:szCs w:val="21"/>
        </w:rPr>
        <w:t>本专业所有拥有教室均建设为智慧教室，学校为本专业学生提供便捷的上网条件，实现校园无线网络全覆盖，目前学校正在进行智慧校园建设，将给学生的学习与生活提供更丰富的资源和更便利的条件。</w:t>
      </w:r>
    </w:p>
    <w:p>
      <w:pPr>
        <w:ind w:firstLine="315" w:firstLineChars="150"/>
        <w:rPr>
          <w:rFonts w:ascii="仿宋_GB2312" w:hAnsi="宋体" w:eastAsia="仿宋_GB2312" w:cs="宋体"/>
          <w:szCs w:val="21"/>
        </w:rPr>
      </w:pPr>
      <w:r>
        <w:rPr>
          <w:rFonts w:hint="eastAsia" w:ascii="仿宋_GB2312" w:hAnsi="宋体" w:eastAsia="仿宋_GB2312" w:cs="宋体"/>
          <w:szCs w:val="21"/>
        </w:rPr>
        <w:t>（四）教学方法</w:t>
      </w:r>
    </w:p>
    <w:p>
      <w:pPr>
        <w:ind w:firstLine="420" w:firstLineChars="200"/>
        <w:rPr>
          <w:rFonts w:ascii="仿宋_GB2312" w:hAnsi="宋体" w:eastAsia="仿宋_GB2312" w:cs="宋体"/>
          <w:szCs w:val="21"/>
        </w:rPr>
      </w:pPr>
      <w:r>
        <w:rPr>
          <w:rFonts w:hint="eastAsia" w:ascii="仿宋_GB2312" w:hAnsi="宋体" w:eastAsia="仿宋_GB2312" w:cs="宋体"/>
          <w:szCs w:val="21"/>
        </w:rPr>
        <w:t>1. 教学模式</w:t>
      </w:r>
    </w:p>
    <w:p>
      <w:pPr>
        <w:ind w:firstLine="420" w:firstLineChars="200"/>
        <w:rPr>
          <w:rFonts w:ascii="仿宋_GB2312" w:hAnsi="宋体" w:eastAsia="仿宋_GB2312" w:cs="宋体"/>
          <w:szCs w:val="21"/>
        </w:rPr>
      </w:pPr>
      <w:r>
        <w:rPr>
          <w:rFonts w:hint="eastAsia" w:ascii="仿宋_GB2312" w:hAnsi="宋体" w:eastAsia="仿宋_GB2312" w:cs="宋体"/>
          <w:szCs w:val="21"/>
        </w:rPr>
        <w:t>按照职业岗位需求，优化整合专业基础课程，积极推动专业综合课程建设；不断加强和完善专业网络课程建设，发挥专业教学资源库、网络课程资源的积极作用，开展线上与线下混合式教学；积累翻转课堂教学资源，增强自主学习的意识，提高自我发展能力。</w:t>
      </w:r>
    </w:p>
    <w:p>
      <w:pPr>
        <w:ind w:firstLine="420" w:firstLineChars="200"/>
        <w:rPr>
          <w:rFonts w:ascii="仿宋_GB2312" w:hAnsi="宋体" w:eastAsia="仿宋_GB2312" w:cs="宋体"/>
          <w:szCs w:val="21"/>
        </w:rPr>
      </w:pPr>
      <w:r>
        <w:rPr>
          <w:rFonts w:hint="eastAsia" w:ascii="仿宋_GB2312" w:hAnsi="宋体" w:eastAsia="仿宋_GB2312" w:cs="宋体"/>
          <w:szCs w:val="21"/>
        </w:rPr>
        <w:t>采用探究式教学、小组合作学习和个别化学习相结合的模式。重视学生个性化学习和自主学习能力的培养，坚持课内与课外学习相结合，致力于培养学生的专业兴趣和终身学习能力。</w:t>
      </w:r>
    </w:p>
    <w:p>
      <w:pPr>
        <w:ind w:firstLine="420" w:firstLineChars="200"/>
        <w:rPr>
          <w:rFonts w:ascii="仿宋_GB2312" w:hAnsi="宋体" w:eastAsia="仿宋_GB2312" w:cs="宋体"/>
          <w:szCs w:val="21"/>
        </w:rPr>
      </w:pPr>
      <w:r>
        <w:rPr>
          <w:rFonts w:hint="eastAsia" w:ascii="仿宋_GB2312" w:hAnsi="宋体" w:eastAsia="仿宋_GB2312" w:cs="宋体"/>
          <w:szCs w:val="21"/>
        </w:rPr>
        <w:t>2.教学方法手段</w:t>
      </w:r>
    </w:p>
    <w:p>
      <w:pPr>
        <w:ind w:firstLine="315" w:firstLineChars="150"/>
        <w:rPr>
          <w:rFonts w:ascii="仿宋_GB2312" w:hAnsi="宋体" w:eastAsia="仿宋_GB2312" w:cs="宋体"/>
          <w:szCs w:val="21"/>
        </w:rPr>
      </w:pPr>
      <w:r>
        <w:rPr>
          <w:rFonts w:hint="eastAsia" w:ascii="仿宋_GB2312" w:hAnsi="宋体" w:eastAsia="仿宋_GB2312" w:cs="宋体"/>
          <w:szCs w:val="21"/>
        </w:rPr>
        <w:t>（1）教学方法</w:t>
      </w:r>
    </w:p>
    <w:p>
      <w:pPr>
        <w:ind w:firstLine="420" w:firstLineChars="200"/>
        <w:rPr>
          <w:rFonts w:ascii="仿宋_GB2312" w:hAnsi="宋体" w:eastAsia="仿宋_GB2312" w:cs="宋体"/>
          <w:szCs w:val="21"/>
        </w:rPr>
      </w:pPr>
      <w:r>
        <w:rPr>
          <w:rFonts w:hint="eastAsia" w:ascii="仿宋_GB2312" w:hAnsi="宋体" w:eastAsia="仿宋_GB2312" w:cs="宋体"/>
          <w:szCs w:val="21"/>
        </w:rPr>
        <w:t>在教学中推行案例教学、讨论式和启发式教学方法，精讲理论，拓展课外学习和实践活动，突出学生个性发展和从教能力、综合实践能力的培养。</w:t>
      </w:r>
    </w:p>
    <w:p>
      <w:pPr>
        <w:ind w:firstLine="420" w:firstLineChars="200"/>
        <w:rPr>
          <w:rFonts w:ascii="仿宋_GB2312" w:hAnsi="宋体" w:eastAsia="仿宋_GB2312" w:cs="宋体"/>
          <w:szCs w:val="21"/>
        </w:rPr>
      </w:pPr>
      <w:r>
        <w:rPr>
          <w:rFonts w:hint="eastAsia" w:ascii="仿宋_GB2312" w:hAnsi="宋体" w:eastAsia="仿宋_GB2312" w:cs="宋体"/>
          <w:szCs w:val="21"/>
        </w:rPr>
        <w:t>注重教学方法改革，推行“学中</w:t>
      </w:r>
      <w:r>
        <w:rPr>
          <w:rFonts w:hint="eastAsia" w:ascii="仿宋_GB2312" w:hAnsi="宋体" w:eastAsia="仿宋_GB2312" w:cs="宋体"/>
          <w:szCs w:val="21"/>
          <w:lang w:eastAsia="zh-CN"/>
        </w:rPr>
        <w:t>玩</w:t>
      </w:r>
      <w:r>
        <w:rPr>
          <w:rFonts w:hint="eastAsia" w:ascii="仿宋_GB2312" w:hAnsi="宋体" w:eastAsia="仿宋_GB2312" w:cs="宋体"/>
          <w:szCs w:val="21"/>
        </w:rPr>
        <w:t>，</w:t>
      </w:r>
      <w:r>
        <w:rPr>
          <w:rFonts w:hint="eastAsia" w:ascii="仿宋_GB2312" w:hAnsi="宋体" w:eastAsia="仿宋_GB2312" w:cs="宋体"/>
          <w:szCs w:val="21"/>
          <w:lang w:eastAsia="zh-CN"/>
        </w:rPr>
        <w:t>玩</w:t>
      </w:r>
      <w:r>
        <w:rPr>
          <w:rFonts w:hint="eastAsia" w:ascii="仿宋_GB2312" w:hAnsi="宋体" w:eastAsia="仿宋_GB2312" w:cs="宋体"/>
          <w:szCs w:val="21"/>
        </w:rPr>
        <w:t>中学”的教学</w:t>
      </w:r>
      <w:r>
        <w:rPr>
          <w:rFonts w:hint="eastAsia" w:ascii="仿宋_GB2312" w:hAnsi="宋体" w:eastAsia="仿宋_GB2312" w:cs="宋体"/>
          <w:szCs w:val="21"/>
          <w:lang w:eastAsia="zh-CN"/>
        </w:rPr>
        <w:t>方法</w:t>
      </w:r>
      <w:r>
        <w:rPr>
          <w:rFonts w:hint="eastAsia" w:ascii="仿宋_GB2312" w:hAnsi="宋体" w:eastAsia="仿宋_GB2312" w:cs="宋体"/>
          <w:szCs w:val="21"/>
        </w:rPr>
        <w:t>，灵活采用各种教学方法，重点推行任务驱动教学法、案例教学法、情境教学法、参与式教学法实施教学。</w:t>
      </w:r>
    </w:p>
    <w:p>
      <w:pPr>
        <w:ind w:firstLine="420" w:firstLineChars="200"/>
        <w:rPr>
          <w:rFonts w:ascii="仿宋_GB2312" w:hAnsi="宋体" w:eastAsia="仿宋_GB2312" w:cs="宋体"/>
          <w:szCs w:val="21"/>
        </w:rPr>
      </w:pPr>
      <w:r>
        <w:rPr>
          <w:rFonts w:hint="eastAsia" w:ascii="仿宋_GB2312" w:hAnsi="宋体" w:eastAsia="仿宋_GB2312" w:cs="宋体"/>
          <w:szCs w:val="21"/>
        </w:rPr>
        <w:t>（2）教学手段</w:t>
      </w:r>
    </w:p>
    <w:p>
      <w:pPr>
        <w:ind w:firstLine="420" w:firstLineChars="200"/>
        <w:rPr>
          <w:rFonts w:ascii="仿宋_GB2312" w:hAnsi="宋体" w:eastAsia="仿宋_GB2312" w:cs="宋体"/>
          <w:szCs w:val="21"/>
        </w:rPr>
      </w:pPr>
      <w:r>
        <w:rPr>
          <w:rFonts w:hint="eastAsia" w:ascii="仿宋_GB2312" w:hAnsi="宋体" w:eastAsia="仿宋_GB2312" w:cs="宋体"/>
          <w:szCs w:val="21"/>
        </w:rPr>
        <w:t>采用多种教学手段，利用现代信息技术，激发学生学习兴趣，切实提高教学效果。</w:t>
      </w:r>
    </w:p>
    <w:p>
      <w:pPr>
        <w:ind w:firstLine="420" w:firstLineChars="200"/>
        <w:rPr>
          <w:rFonts w:ascii="仿宋_GB2312" w:hAnsi="宋体" w:eastAsia="仿宋_GB2312" w:cs="宋体"/>
          <w:szCs w:val="21"/>
        </w:rPr>
      </w:pPr>
      <w:r>
        <w:rPr>
          <w:rFonts w:hint="eastAsia" w:ascii="仿宋_GB2312" w:hAnsi="宋体" w:eastAsia="仿宋_GB2312" w:cs="宋体"/>
          <w:szCs w:val="21"/>
        </w:rPr>
        <w:t>3.教学评价与考核</w:t>
      </w:r>
    </w:p>
    <w:p>
      <w:pPr>
        <w:ind w:firstLine="420" w:firstLineChars="200"/>
        <w:rPr>
          <w:rFonts w:ascii="仿宋_GB2312" w:hAnsi="宋体" w:eastAsia="仿宋_GB2312" w:cs="宋体"/>
          <w:szCs w:val="21"/>
        </w:rPr>
      </w:pPr>
      <w:r>
        <w:rPr>
          <w:rFonts w:hint="eastAsia" w:ascii="仿宋_GB2312" w:hAnsi="宋体" w:eastAsia="仿宋_GB2312" w:cs="宋体"/>
          <w:szCs w:val="21"/>
        </w:rPr>
        <w:t>改革考试考核方法，突出过程性学习考核和学生专业技能的考核；公共课程基础、专业基础课程突出基本理论和应用知识的考核，教师教育课程注重从教的基本素质和实践能力的考核。</w:t>
      </w:r>
    </w:p>
    <w:p>
      <w:pPr>
        <w:ind w:firstLine="420" w:firstLineChars="200"/>
        <w:rPr>
          <w:rFonts w:ascii="仿宋_GB2312" w:hAnsi="宋体" w:eastAsia="仿宋_GB2312" w:cs="宋体"/>
          <w:szCs w:val="21"/>
        </w:rPr>
      </w:pPr>
      <w:r>
        <w:rPr>
          <w:rFonts w:hint="eastAsia" w:ascii="仿宋_GB2312" w:hAnsi="宋体" w:eastAsia="仿宋_GB2312" w:cs="宋体"/>
          <w:szCs w:val="21"/>
        </w:rPr>
        <w:t>（五）质量管理</w:t>
      </w:r>
    </w:p>
    <w:p>
      <w:pPr>
        <w:ind w:firstLine="420" w:firstLineChars="200"/>
        <w:rPr>
          <w:rFonts w:ascii="仿宋_GB2312" w:hAnsi="宋体" w:eastAsia="仿宋_GB2312" w:cs="宋体"/>
          <w:szCs w:val="21"/>
        </w:rPr>
      </w:pPr>
      <w:r>
        <w:rPr>
          <w:rFonts w:hint="eastAsia" w:ascii="仿宋_GB2312" w:hAnsi="宋体" w:eastAsia="仿宋_GB2312" w:cs="宋体"/>
          <w:szCs w:val="21"/>
        </w:rPr>
        <w:t>建立科学合理的专业人才培养质量保障体系。构建由教务处、学生处、人事处、财务处、教学督导组，院系单位、教研室、学生信息员组成的内部教学质量监控体系。建立教学质量监控、反馈、整改机制，构建了专业、课程、实践教学、课程考核、毕业设计（论文）、课外教学及教学管理等涉及各教学环节的质量监控体系。</w:t>
      </w:r>
    </w:p>
    <w:p>
      <w:pPr>
        <w:ind w:firstLine="420" w:firstLineChars="200"/>
        <w:rPr>
          <w:rFonts w:ascii="仿宋_GB2312" w:hAnsi="宋体" w:eastAsia="仿宋_GB2312" w:cs="宋体"/>
          <w:szCs w:val="21"/>
        </w:rPr>
      </w:pPr>
      <w:r>
        <w:rPr>
          <w:rFonts w:hint="eastAsia" w:ascii="仿宋_GB2312" w:hAnsi="宋体" w:eastAsia="仿宋_GB2312" w:cs="宋体"/>
          <w:szCs w:val="21"/>
        </w:rPr>
        <w:t>加强教学过程管理。建立教学质量监控领导小组，制定明确的工作职责和工作任务。对教学过程进行全面监控，组织开展各类教学检查。开学前，组织进行教学条件准备、教学安排与落实情况的检查；开学第一周进行教学秩序检查；期中进行教学检查；期末进行考试巡考；毕业论文实行前、中、后期检查；通过随机听课、师生座谈会、教学反馈、教学纪律检查、教学秩序管理等方面进行全方位的教学监控，对课堂教学和实践教学不定期听课与抽查等，实现了质量监控的常态化、规范化、制度化。</w:t>
      </w:r>
    </w:p>
    <w:p>
      <w:pPr>
        <w:ind w:firstLine="420" w:firstLineChars="200"/>
        <w:rPr>
          <w:rFonts w:ascii="仿宋_GB2312" w:hAnsi="宋体" w:eastAsia="仿宋_GB2312" w:cs="宋体"/>
          <w:szCs w:val="21"/>
        </w:rPr>
      </w:pPr>
      <w:r>
        <w:rPr>
          <w:rFonts w:hint="eastAsia" w:ascii="仿宋_GB2312" w:hAnsi="宋体" w:eastAsia="仿宋_GB2312" w:cs="宋体"/>
          <w:szCs w:val="21"/>
        </w:rPr>
        <w:t>加强教学质量评价。通过完善质量标准，形成涵盖课堂教学、辅导答疑、实习教学、实验教学（含实训教学）、毕业设计（论文）、课程考核、教材选用、专业、课程及教学管理等教学各环节的质量标准体系；制定了课堂教学质量评价办法，每学期开展学生对任课教师的教学质量网络评教工作，基本达到了全员评教和评教课程的全覆盖。通过构建并逐步完善了教学质量评估制度，评教、评学制度，教学督导制度，听课、看课制度，干部听课制度，教学检查制度，学生信息员制度等教学质量监督制度，达到提升教学质量的目的。定期开展专项评估。对评估所发现的问题进行整理、归纳，学校通过专题会议或教学工作例会对评估结果进行总结、反馈。</w:t>
      </w:r>
    </w:p>
    <w:p>
      <w:pPr>
        <w:ind w:firstLine="420" w:firstLineChars="200"/>
        <w:rPr>
          <w:rFonts w:ascii="仿宋_GB2312" w:hAnsi="宋体" w:eastAsia="仿宋_GB2312" w:cs="宋体"/>
          <w:szCs w:val="21"/>
        </w:rPr>
      </w:pPr>
      <w:r>
        <w:rPr>
          <w:rFonts w:hint="eastAsia" w:ascii="仿宋_GB2312" w:hAnsi="宋体" w:eastAsia="仿宋_GB2312" w:cs="宋体"/>
          <w:szCs w:val="21"/>
        </w:rPr>
        <w:t>质量保障体系的组织、制度建设。构建教学指导委员会制度、教学督导制度、教师听课评估制度、学生信息员及学生评教制度、三段式集中教学检查制度、学生学业预警制度；制定《教师教学质量评价办法》、《校内实习实训基地管理办法》、《学生专业见习制度》、《学生顶岗实习管理制度》等规章制度，来保障教学管理。</w:t>
      </w:r>
    </w:p>
    <w:p>
      <w:pPr>
        <w:ind w:firstLine="310" w:firstLineChars="147"/>
        <w:rPr>
          <w:rFonts w:hint="eastAsia" w:ascii="仿宋_GB2312" w:hAnsi="宋体" w:eastAsia="仿宋_GB2312" w:cs="宋体"/>
          <w:b/>
          <w:szCs w:val="21"/>
        </w:rPr>
      </w:pPr>
    </w:p>
    <w:p>
      <w:pPr>
        <w:ind w:firstLine="310" w:firstLineChars="147"/>
        <w:rPr>
          <w:rFonts w:hint="eastAsia" w:ascii="仿宋_GB2312" w:hAnsi="宋体" w:eastAsia="仿宋_GB2312" w:cs="宋体"/>
          <w:b/>
          <w:szCs w:val="21"/>
        </w:rPr>
      </w:pPr>
    </w:p>
    <w:p>
      <w:pPr>
        <w:ind w:firstLine="310" w:firstLineChars="147"/>
        <w:rPr>
          <w:rFonts w:hint="eastAsia" w:ascii="仿宋_GB2312" w:hAnsi="宋体" w:eastAsia="仿宋_GB2312" w:cs="宋体"/>
          <w:b/>
          <w:szCs w:val="21"/>
        </w:rPr>
      </w:pPr>
    </w:p>
    <w:p>
      <w:pPr>
        <w:ind w:firstLine="310" w:firstLineChars="147"/>
        <w:rPr>
          <w:rFonts w:hint="eastAsia" w:ascii="仿宋_GB2312" w:hAnsi="宋体" w:eastAsia="仿宋_GB2312" w:cs="宋体"/>
          <w:b/>
          <w:szCs w:val="21"/>
        </w:rPr>
      </w:pPr>
    </w:p>
    <w:p>
      <w:pPr>
        <w:ind w:firstLine="310" w:firstLineChars="147"/>
        <w:rPr>
          <w:rFonts w:hint="eastAsia" w:ascii="仿宋_GB2312" w:hAnsi="宋体" w:eastAsia="仿宋_GB2312" w:cs="宋体"/>
          <w:b/>
          <w:szCs w:val="21"/>
        </w:rPr>
      </w:pPr>
    </w:p>
    <w:p>
      <w:pPr>
        <w:ind w:firstLine="310" w:firstLineChars="147"/>
        <w:rPr>
          <w:rFonts w:ascii="仿宋_GB2312" w:hAnsi="宋体" w:eastAsia="仿宋_GB2312" w:cs="宋体"/>
          <w:b/>
          <w:szCs w:val="21"/>
        </w:rPr>
      </w:pPr>
      <w:r>
        <w:rPr>
          <w:rFonts w:hint="eastAsia" w:ascii="仿宋_GB2312" w:hAnsi="宋体" w:eastAsia="仿宋_GB2312" w:cs="宋体"/>
          <w:b/>
          <w:szCs w:val="21"/>
        </w:rPr>
        <w:t>（六）专业建设合作委员会</w:t>
      </w:r>
    </w:p>
    <w:tbl>
      <w:tblPr>
        <w:tblStyle w:val="21"/>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291"/>
        <w:gridCol w:w="1080"/>
        <w:gridCol w:w="3284"/>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序号</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姓名</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会内职务</w:t>
            </w:r>
          </w:p>
        </w:tc>
        <w:tc>
          <w:tcPr>
            <w:tcW w:w="32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工作单位</w:t>
            </w:r>
          </w:p>
        </w:tc>
        <w:tc>
          <w:tcPr>
            <w:tcW w:w="28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职务或职称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sz w:val="18"/>
                <w:szCs w:val="18"/>
              </w:rPr>
            </w:pPr>
            <w:r>
              <w:rPr>
                <w:rFonts w:hint="eastAsia" w:ascii="仿宋_GB2312" w:hAnsi="宋体" w:eastAsia="仿宋_GB2312"/>
                <w:sz w:val="18"/>
                <w:szCs w:val="18"/>
              </w:rPr>
              <w:t>1</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郭玉敏</w:t>
            </w:r>
          </w:p>
        </w:tc>
        <w:tc>
          <w:tcPr>
            <w:tcW w:w="1080"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主任</w:t>
            </w:r>
          </w:p>
        </w:tc>
        <w:tc>
          <w:tcPr>
            <w:tcW w:w="3284"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阜阳幼儿师范高等专科学校</w:t>
            </w:r>
          </w:p>
        </w:tc>
        <w:tc>
          <w:tcPr>
            <w:tcW w:w="2836"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系主任（副教授）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86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sz w:val="18"/>
                <w:szCs w:val="18"/>
              </w:rPr>
            </w:pPr>
            <w:r>
              <w:rPr>
                <w:rFonts w:hint="eastAsia" w:ascii="仿宋_GB2312" w:hAnsi="宋体" w:eastAsia="仿宋_GB2312"/>
                <w:sz w:val="18"/>
                <w:szCs w:val="18"/>
              </w:rPr>
              <w:t>2</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Cs/>
                <w:sz w:val="18"/>
                <w:szCs w:val="18"/>
                <w:lang w:eastAsia="zh-CN"/>
              </w:rPr>
            </w:pPr>
            <w:r>
              <w:rPr>
                <w:rFonts w:hint="eastAsia" w:ascii="仿宋_GB2312" w:hAnsi="宋体" w:eastAsia="仿宋_GB2312"/>
                <w:bCs/>
                <w:sz w:val="18"/>
                <w:szCs w:val="18"/>
                <w:lang w:eastAsia="zh-CN"/>
              </w:rPr>
              <w:t>顾江鸿</w:t>
            </w:r>
          </w:p>
        </w:tc>
        <w:tc>
          <w:tcPr>
            <w:tcW w:w="1080"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副主任</w:t>
            </w:r>
          </w:p>
        </w:tc>
        <w:tc>
          <w:tcPr>
            <w:tcW w:w="3284"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阜阳师范大学</w:t>
            </w:r>
            <w:r>
              <w:rPr>
                <w:rFonts w:hint="eastAsia" w:ascii="仿宋_GB2312" w:hAnsi="宋体" w:eastAsia="仿宋_GB2312"/>
                <w:bCs/>
                <w:sz w:val="18"/>
                <w:szCs w:val="18"/>
                <w:lang w:eastAsia="zh-CN"/>
              </w:rPr>
              <w:t>物电</w:t>
            </w:r>
            <w:r>
              <w:rPr>
                <w:rFonts w:hint="eastAsia" w:ascii="仿宋_GB2312" w:hAnsi="宋体" w:eastAsia="仿宋_GB2312"/>
                <w:bCs/>
                <w:sz w:val="18"/>
                <w:szCs w:val="18"/>
              </w:rPr>
              <w:t>学院</w:t>
            </w:r>
          </w:p>
        </w:tc>
        <w:tc>
          <w:tcPr>
            <w:tcW w:w="2836"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lang w:eastAsia="zh-CN"/>
              </w:rPr>
              <w:t>专业带头人</w:t>
            </w:r>
            <w:r>
              <w:rPr>
                <w:rFonts w:hint="eastAsia" w:ascii="仿宋_GB2312" w:hAnsi="宋体" w:eastAsia="仿宋_GB2312"/>
                <w:bCs/>
                <w:sz w:val="18"/>
                <w:szCs w:val="18"/>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sz w:val="18"/>
                <w:szCs w:val="18"/>
              </w:rPr>
            </w:pPr>
            <w:r>
              <w:rPr>
                <w:rFonts w:hint="eastAsia" w:ascii="仿宋_GB2312" w:hAnsi="宋体" w:eastAsia="仿宋_GB2312"/>
                <w:sz w:val="18"/>
                <w:szCs w:val="18"/>
              </w:rPr>
              <w:t>3</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刘孟琳</w:t>
            </w:r>
          </w:p>
        </w:tc>
        <w:tc>
          <w:tcPr>
            <w:tcW w:w="1080"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副主任</w:t>
            </w:r>
          </w:p>
        </w:tc>
        <w:tc>
          <w:tcPr>
            <w:tcW w:w="3284"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阜阳市清河路第一小学</w:t>
            </w:r>
          </w:p>
        </w:tc>
        <w:tc>
          <w:tcPr>
            <w:tcW w:w="2836"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小学科学教研室主任（小教高级）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sz w:val="18"/>
                <w:szCs w:val="18"/>
              </w:rPr>
            </w:pPr>
            <w:r>
              <w:rPr>
                <w:rFonts w:hint="eastAsia" w:ascii="仿宋_GB2312" w:hAnsi="宋体" w:eastAsia="仿宋_GB2312"/>
                <w:sz w:val="18"/>
                <w:szCs w:val="18"/>
              </w:rPr>
              <w:t>4</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李增</w:t>
            </w:r>
          </w:p>
        </w:tc>
        <w:tc>
          <w:tcPr>
            <w:tcW w:w="1080"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秘书</w:t>
            </w:r>
          </w:p>
        </w:tc>
        <w:tc>
          <w:tcPr>
            <w:tcW w:w="3284"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阜阳幼儿师范高等专科学校</w:t>
            </w:r>
          </w:p>
        </w:tc>
        <w:tc>
          <w:tcPr>
            <w:tcW w:w="2836"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系教学秘书（讲师）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sz w:val="18"/>
                <w:szCs w:val="18"/>
              </w:rPr>
            </w:pPr>
            <w:r>
              <w:rPr>
                <w:rFonts w:hint="eastAsia" w:ascii="仿宋_GB2312" w:hAnsi="宋体" w:eastAsia="仿宋_GB2312"/>
                <w:sz w:val="18"/>
                <w:szCs w:val="18"/>
              </w:rPr>
              <w:t>5</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代广辉</w:t>
            </w:r>
          </w:p>
        </w:tc>
        <w:tc>
          <w:tcPr>
            <w:tcW w:w="1080"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委员</w:t>
            </w:r>
          </w:p>
        </w:tc>
        <w:tc>
          <w:tcPr>
            <w:tcW w:w="3284"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阜阳幼儿师范高等专科学校</w:t>
            </w:r>
          </w:p>
        </w:tc>
        <w:tc>
          <w:tcPr>
            <w:tcW w:w="2836"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科学教研室主任（副教授）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sz w:val="18"/>
                <w:szCs w:val="18"/>
              </w:rPr>
            </w:pPr>
            <w:r>
              <w:rPr>
                <w:rFonts w:hint="eastAsia" w:ascii="仿宋_GB2312" w:hAnsi="宋体" w:eastAsia="仿宋_GB2312"/>
                <w:sz w:val="18"/>
                <w:szCs w:val="18"/>
              </w:rPr>
              <w:t>6</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胡文丽</w:t>
            </w:r>
          </w:p>
        </w:tc>
        <w:tc>
          <w:tcPr>
            <w:tcW w:w="1080"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委员</w:t>
            </w:r>
          </w:p>
        </w:tc>
        <w:tc>
          <w:tcPr>
            <w:tcW w:w="3284"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阜阳幼儿师范高等专科学校</w:t>
            </w:r>
          </w:p>
        </w:tc>
        <w:tc>
          <w:tcPr>
            <w:tcW w:w="2836"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教学名师（副教授）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sz w:val="18"/>
                <w:szCs w:val="18"/>
              </w:rPr>
            </w:pPr>
            <w:r>
              <w:rPr>
                <w:rFonts w:hint="eastAsia" w:ascii="仿宋_GB2312" w:hAnsi="宋体" w:eastAsia="仿宋_GB2312"/>
                <w:sz w:val="18"/>
                <w:szCs w:val="18"/>
              </w:rPr>
              <w:t>7</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bCs/>
                <w:sz w:val="18"/>
                <w:szCs w:val="18"/>
              </w:rPr>
            </w:pPr>
            <w:r>
              <w:rPr>
                <w:rFonts w:hint="eastAsia" w:ascii="仿宋_GB2312" w:hAnsi="宋体" w:eastAsia="仿宋_GB2312"/>
                <w:bCs/>
                <w:sz w:val="18"/>
                <w:szCs w:val="18"/>
              </w:rPr>
              <w:t>孟慧美</w:t>
            </w:r>
          </w:p>
        </w:tc>
        <w:tc>
          <w:tcPr>
            <w:tcW w:w="1080"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委员</w:t>
            </w:r>
          </w:p>
        </w:tc>
        <w:tc>
          <w:tcPr>
            <w:tcW w:w="3284"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阜阳幼儿师范高等专科学校</w:t>
            </w:r>
          </w:p>
        </w:tc>
        <w:tc>
          <w:tcPr>
            <w:tcW w:w="2836"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宋体" w:eastAsia="仿宋_GB2312"/>
                <w:bCs/>
                <w:sz w:val="18"/>
                <w:szCs w:val="18"/>
              </w:rPr>
            </w:pPr>
            <w:r>
              <w:rPr>
                <w:rFonts w:hint="eastAsia" w:ascii="仿宋_GB2312" w:hAnsi="宋体" w:eastAsia="仿宋_GB2312"/>
                <w:bCs/>
                <w:sz w:val="18"/>
                <w:szCs w:val="18"/>
              </w:rPr>
              <w:t>讲师</w:t>
            </w:r>
          </w:p>
        </w:tc>
      </w:tr>
    </w:tbl>
    <w:p>
      <w:pPr>
        <w:rPr>
          <w:rFonts w:ascii="黑体" w:hAnsi="黑体" w:eastAsia="黑体" w:cs="黑体"/>
          <w:b/>
          <w:bCs/>
          <w:sz w:val="28"/>
          <w:szCs w:val="28"/>
        </w:rPr>
      </w:pPr>
    </w:p>
    <w:p>
      <w:pPr>
        <w:outlineLvl w:val="0"/>
        <w:rPr>
          <w:rFonts w:ascii="黑体" w:hAnsi="黑体" w:eastAsia="黑体" w:cs="宋体"/>
          <w:bCs/>
          <w:sz w:val="24"/>
        </w:rPr>
      </w:pPr>
      <w:r>
        <w:rPr>
          <w:rFonts w:hint="eastAsia" w:ascii="黑体" w:hAnsi="黑体" w:eastAsia="黑体" w:cs="宋体"/>
          <w:bCs/>
          <w:sz w:val="24"/>
        </w:rPr>
        <w:t>九、毕业</w:t>
      </w:r>
      <w:r>
        <w:rPr>
          <w:rFonts w:ascii="黑体" w:hAnsi="黑体" w:eastAsia="黑体" w:cs="宋体"/>
          <w:bCs/>
          <w:sz w:val="24"/>
        </w:rPr>
        <w:t>要求</w:t>
      </w:r>
    </w:p>
    <w:p>
      <w:pPr>
        <w:pStyle w:val="37"/>
        <w:rPr>
          <w:rFonts w:ascii="仿宋_GB2312" w:hAnsi="宋体" w:eastAsia="仿宋_GB2312" w:cs="宋体"/>
          <w:szCs w:val="21"/>
        </w:rPr>
      </w:pPr>
      <w:r>
        <w:rPr>
          <w:rFonts w:hint="eastAsia" w:ascii="仿宋_GB2312" w:hAnsi="宋体" w:eastAsia="仿宋_GB2312" w:cs="宋体"/>
          <w:szCs w:val="21"/>
        </w:rPr>
        <w:t>（一）毕业生在规定的修业年限内修完培养方案中规定的全部课程并成绩合格；修满要求的总学分146学分方可毕业，其中必修课128学分,选修课18学分（包括公共选修课8学分），另外完成至少4个非课程或奖励学分。</w:t>
      </w:r>
    </w:p>
    <w:p>
      <w:pPr>
        <w:pStyle w:val="37"/>
        <w:rPr>
          <w:rFonts w:ascii="仿宋_GB2312" w:hAnsi="宋体" w:eastAsia="仿宋_GB2312" w:cs="宋体"/>
          <w:szCs w:val="21"/>
        </w:rPr>
      </w:pPr>
      <w:r>
        <w:rPr>
          <w:rFonts w:hint="eastAsia" w:ascii="仿宋_GB2312" w:hAnsi="宋体" w:eastAsia="仿宋_GB2312" w:cs="宋体"/>
          <w:szCs w:val="21"/>
        </w:rPr>
        <w:t>（二）顺利完成毕业论文或毕业设计。</w:t>
      </w:r>
    </w:p>
    <w:p>
      <w:pPr>
        <w:pStyle w:val="37"/>
        <w:rPr>
          <w:rFonts w:ascii="仿宋_GB2312" w:hAnsi="宋体" w:eastAsia="仿宋_GB2312" w:cs="宋体"/>
          <w:szCs w:val="21"/>
        </w:rPr>
      </w:pPr>
      <w:r>
        <w:rPr>
          <w:rFonts w:hint="eastAsia" w:ascii="仿宋_GB2312" w:hAnsi="宋体" w:eastAsia="仿宋_GB2312" w:cs="宋体"/>
          <w:szCs w:val="21"/>
        </w:rPr>
        <w:t>（三）参加毕业实习全过程，毕业综合实践报告符合规定要求。</w:t>
      </w:r>
    </w:p>
    <w:p>
      <w:pPr>
        <w:pStyle w:val="37"/>
        <w:rPr>
          <w:rFonts w:ascii="仿宋_GB2312" w:hAnsi="宋体" w:eastAsia="仿宋_GB2312" w:cs="宋体"/>
          <w:szCs w:val="21"/>
        </w:rPr>
      </w:pPr>
      <w:r>
        <w:rPr>
          <w:rFonts w:hint="eastAsia" w:ascii="仿宋_GB2312" w:hAnsi="宋体" w:eastAsia="仿宋_GB2312" w:cs="宋体"/>
          <w:szCs w:val="21"/>
        </w:rPr>
        <w:t>（四）鼓励学生通过辅修课程获得更高学分，普通话水平测试不低于二级乙等，建议取得教师资格证，通过学校要求的计算机应用能力测试和各项基本功考核。</w:t>
      </w:r>
    </w:p>
    <w:p>
      <w:pPr>
        <w:pStyle w:val="37"/>
        <w:ind w:firstLine="360" w:firstLineChars="150"/>
        <w:rPr>
          <w:rFonts w:ascii="宋体" w:hAnsi="宋体" w:cs="宋体"/>
          <w:sz w:val="24"/>
        </w:rPr>
      </w:pPr>
    </w:p>
    <w:sectPr>
      <w:pgSz w:w="11906" w:h="16838"/>
      <w:pgMar w:top="1418" w:right="1134" w:bottom="1418"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entury">
    <w:altName w:val="Bookman Old Style"/>
    <w:panose1 w:val="02040604050505020304"/>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E7922"/>
    <w:multiLevelType w:val="singleLevel"/>
    <w:tmpl w:val="979E7922"/>
    <w:lvl w:ilvl="0" w:tentative="0">
      <w:start w:val="1"/>
      <w:numFmt w:val="decimal"/>
      <w:suff w:val="space"/>
      <w:lvlText w:val="%1."/>
      <w:lvlJc w:val="left"/>
    </w:lvl>
  </w:abstractNum>
  <w:abstractNum w:abstractNumId="1">
    <w:nsid w:val="CCBB3AF2"/>
    <w:multiLevelType w:val="singleLevel"/>
    <w:tmpl w:val="CCBB3AF2"/>
    <w:lvl w:ilvl="0" w:tentative="0">
      <w:start w:val="1"/>
      <w:numFmt w:val="decimal"/>
      <w:suff w:val="nothing"/>
      <w:lvlText w:val="（%1）"/>
      <w:lvlJc w:val="left"/>
    </w:lvl>
  </w:abstractNum>
  <w:abstractNum w:abstractNumId="2">
    <w:nsid w:val="DCA2F020"/>
    <w:multiLevelType w:val="singleLevel"/>
    <w:tmpl w:val="DCA2F020"/>
    <w:lvl w:ilvl="0" w:tentative="0">
      <w:start w:val="2"/>
      <w:numFmt w:val="decimal"/>
      <w:suff w:val="nothing"/>
      <w:lvlText w:val="（%1）"/>
      <w:lvlJc w:val="left"/>
    </w:lvl>
  </w:abstractNum>
  <w:abstractNum w:abstractNumId="3">
    <w:nsid w:val="0791B959"/>
    <w:multiLevelType w:val="singleLevel"/>
    <w:tmpl w:val="0791B959"/>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74"/>
    <w:rsid w:val="0001326A"/>
    <w:rsid w:val="000435F2"/>
    <w:rsid w:val="00091B29"/>
    <w:rsid w:val="00091D74"/>
    <w:rsid w:val="000F68B7"/>
    <w:rsid w:val="000F719E"/>
    <w:rsid w:val="001032C1"/>
    <w:rsid w:val="00143C46"/>
    <w:rsid w:val="0014674E"/>
    <w:rsid w:val="00163509"/>
    <w:rsid w:val="00163528"/>
    <w:rsid w:val="00176B30"/>
    <w:rsid w:val="001D4807"/>
    <w:rsid w:val="00224D5D"/>
    <w:rsid w:val="00234170"/>
    <w:rsid w:val="00256BDF"/>
    <w:rsid w:val="00272B69"/>
    <w:rsid w:val="0027306D"/>
    <w:rsid w:val="00275965"/>
    <w:rsid w:val="00300063"/>
    <w:rsid w:val="00321A43"/>
    <w:rsid w:val="00371274"/>
    <w:rsid w:val="00393219"/>
    <w:rsid w:val="00396786"/>
    <w:rsid w:val="003A0DD8"/>
    <w:rsid w:val="003B0651"/>
    <w:rsid w:val="003B1CA3"/>
    <w:rsid w:val="003B1DD8"/>
    <w:rsid w:val="003C1DA7"/>
    <w:rsid w:val="003E26D9"/>
    <w:rsid w:val="00404001"/>
    <w:rsid w:val="00427BCB"/>
    <w:rsid w:val="0043282E"/>
    <w:rsid w:val="004454A6"/>
    <w:rsid w:val="004517CD"/>
    <w:rsid w:val="00486C84"/>
    <w:rsid w:val="00487E46"/>
    <w:rsid w:val="004A35A8"/>
    <w:rsid w:val="004A6061"/>
    <w:rsid w:val="004B35AB"/>
    <w:rsid w:val="004B4647"/>
    <w:rsid w:val="004B4C0A"/>
    <w:rsid w:val="004E288C"/>
    <w:rsid w:val="004E70A7"/>
    <w:rsid w:val="004F4A8F"/>
    <w:rsid w:val="00500AC6"/>
    <w:rsid w:val="00510BE6"/>
    <w:rsid w:val="005249FD"/>
    <w:rsid w:val="00567204"/>
    <w:rsid w:val="005940D0"/>
    <w:rsid w:val="005C4B61"/>
    <w:rsid w:val="005D76CB"/>
    <w:rsid w:val="0062118B"/>
    <w:rsid w:val="00653EDC"/>
    <w:rsid w:val="00662140"/>
    <w:rsid w:val="006761F2"/>
    <w:rsid w:val="006954EF"/>
    <w:rsid w:val="006A08D4"/>
    <w:rsid w:val="006A7B6A"/>
    <w:rsid w:val="006C2D99"/>
    <w:rsid w:val="006C4A80"/>
    <w:rsid w:val="006C5252"/>
    <w:rsid w:val="007232DF"/>
    <w:rsid w:val="007B253C"/>
    <w:rsid w:val="007B5A98"/>
    <w:rsid w:val="007E31C1"/>
    <w:rsid w:val="007E3B68"/>
    <w:rsid w:val="008243FF"/>
    <w:rsid w:val="00844FD9"/>
    <w:rsid w:val="008714E1"/>
    <w:rsid w:val="008820D5"/>
    <w:rsid w:val="008C56C4"/>
    <w:rsid w:val="00960E87"/>
    <w:rsid w:val="0096283A"/>
    <w:rsid w:val="0098727B"/>
    <w:rsid w:val="0099363C"/>
    <w:rsid w:val="009C4F91"/>
    <w:rsid w:val="00A37AA3"/>
    <w:rsid w:val="00A47ED4"/>
    <w:rsid w:val="00A60C66"/>
    <w:rsid w:val="00A837C5"/>
    <w:rsid w:val="00A94899"/>
    <w:rsid w:val="00AA3177"/>
    <w:rsid w:val="00AA4841"/>
    <w:rsid w:val="00AA52F7"/>
    <w:rsid w:val="00AC3445"/>
    <w:rsid w:val="00AD2AB9"/>
    <w:rsid w:val="00AE2CCE"/>
    <w:rsid w:val="00AF39C3"/>
    <w:rsid w:val="00AF4364"/>
    <w:rsid w:val="00B03415"/>
    <w:rsid w:val="00B11327"/>
    <w:rsid w:val="00B65142"/>
    <w:rsid w:val="00BA7823"/>
    <w:rsid w:val="00BD5A07"/>
    <w:rsid w:val="00BE0711"/>
    <w:rsid w:val="00BF2A00"/>
    <w:rsid w:val="00C11B3A"/>
    <w:rsid w:val="00C45CCB"/>
    <w:rsid w:val="00C47C0C"/>
    <w:rsid w:val="00C56DBA"/>
    <w:rsid w:val="00C60B0B"/>
    <w:rsid w:val="00C9723B"/>
    <w:rsid w:val="00CA56E4"/>
    <w:rsid w:val="00CB75B9"/>
    <w:rsid w:val="00D02E12"/>
    <w:rsid w:val="00D11AA9"/>
    <w:rsid w:val="00D60065"/>
    <w:rsid w:val="00D6156B"/>
    <w:rsid w:val="00D74833"/>
    <w:rsid w:val="00D830AD"/>
    <w:rsid w:val="00D833BF"/>
    <w:rsid w:val="00D95055"/>
    <w:rsid w:val="00D962D4"/>
    <w:rsid w:val="00DB31F4"/>
    <w:rsid w:val="00DC6389"/>
    <w:rsid w:val="00DD7775"/>
    <w:rsid w:val="00DF58BE"/>
    <w:rsid w:val="00DF7A3B"/>
    <w:rsid w:val="00E541E7"/>
    <w:rsid w:val="00E55C43"/>
    <w:rsid w:val="00EC1468"/>
    <w:rsid w:val="00ED170F"/>
    <w:rsid w:val="00ED23FC"/>
    <w:rsid w:val="00ED5ACD"/>
    <w:rsid w:val="00EE533C"/>
    <w:rsid w:val="00EE7831"/>
    <w:rsid w:val="00EE79E6"/>
    <w:rsid w:val="00F241F7"/>
    <w:rsid w:val="00F57840"/>
    <w:rsid w:val="00F707ED"/>
    <w:rsid w:val="00FA3ADB"/>
    <w:rsid w:val="00FB03CF"/>
    <w:rsid w:val="00FE7BE2"/>
    <w:rsid w:val="03403FC8"/>
    <w:rsid w:val="056E2DB0"/>
    <w:rsid w:val="06FF2A48"/>
    <w:rsid w:val="07183722"/>
    <w:rsid w:val="077966F7"/>
    <w:rsid w:val="0C143A10"/>
    <w:rsid w:val="0DD7604C"/>
    <w:rsid w:val="0DDB6DDE"/>
    <w:rsid w:val="0F9F69FD"/>
    <w:rsid w:val="13B44570"/>
    <w:rsid w:val="1ABC3E30"/>
    <w:rsid w:val="1B226BF7"/>
    <w:rsid w:val="1D4A0FEB"/>
    <w:rsid w:val="1D561AC8"/>
    <w:rsid w:val="1E532582"/>
    <w:rsid w:val="26F27C78"/>
    <w:rsid w:val="272D1484"/>
    <w:rsid w:val="28723F7F"/>
    <w:rsid w:val="2B4539E1"/>
    <w:rsid w:val="2BEC1BA5"/>
    <w:rsid w:val="30AA73E0"/>
    <w:rsid w:val="32D84D78"/>
    <w:rsid w:val="33717E62"/>
    <w:rsid w:val="34203018"/>
    <w:rsid w:val="355A4559"/>
    <w:rsid w:val="37482D25"/>
    <w:rsid w:val="395453AB"/>
    <w:rsid w:val="39F12E73"/>
    <w:rsid w:val="3CDC20D6"/>
    <w:rsid w:val="3F353E7A"/>
    <w:rsid w:val="4386433A"/>
    <w:rsid w:val="44DF54CC"/>
    <w:rsid w:val="47325C8D"/>
    <w:rsid w:val="47A50BC3"/>
    <w:rsid w:val="4A05213A"/>
    <w:rsid w:val="4A490D6E"/>
    <w:rsid w:val="4A60384B"/>
    <w:rsid w:val="4E284811"/>
    <w:rsid w:val="54972D75"/>
    <w:rsid w:val="5E47478E"/>
    <w:rsid w:val="60E308BE"/>
    <w:rsid w:val="67ED71FD"/>
    <w:rsid w:val="69260F4B"/>
    <w:rsid w:val="6AD21C78"/>
    <w:rsid w:val="6C612389"/>
    <w:rsid w:val="6DEA77B4"/>
    <w:rsid w:val="704C4EDF"/>
    <w:rsid w:val="72A36655"/>
    <w:rsid w:val="72BC79CF"/>
    <w:rsid w:val="72DC0626"/>
    <w:rsid w:val="76E838DE"/>
    <w:rsid w:val="799A40D0"/>
    <w:rsid w:val="7CB7351C"/>
    <w:rsid w:val="7F984F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iPriority="0" w:semiHidden="0" w:name="page number"/>
    <w:lsdException w:qFormat="1" w:unhideWhenUsed="0" w:uiPriority="99"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unhideWhenUsed="0" w:uiPriority="0" w:semiHidden="0" w:name="Normal (Web)"/>
    <w:lsdException w:uiPriority="99" w:name="HTML Acronym"/>
    <w:lsdException w:uiPriority="99" w:name="HTML Address"/>
    <w:lsdException w:qFormat="1" w:uiPriority="0" w:semiHidden="0" w:name="HTML Cite"/>
    <w:lsdException w:qFormat="1" w:uiPriority="0" w:semiHidden="0"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qFormat="1"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0" w:semiHidden="0" w:name="Table Grid" w:locked="1"/>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locked/>
    <w:uiPriority w:val="0"/>
    <w:pPr>
      <w:keepNext/>
      <w:keepLines/>
      <w:spacing w:before="340" w:after="330" w:line="578" w:lineRule="auto"/>
      <w:outlineLvl w:val="0"/>
    </w:pPr>
    <w:rPr>
      <w:b/>
      <w:bCs/>
      <w:kern w:val="44"/>
      <w:sz w:val="24"/>
      <w:szCs w:val="44"/>
    </w:rPr>
  </w:style>
  <w:style w:type="paragraph" w:styleId="3">
    <w:name w:val="heading 2"/>
    <w:basedOn w:val="1"/>
    <w:next w:val="1"/>
    <w:link w:val="138"/>
    <w:qFormat/>
    <w:locked/>
    <w:uiPriority w:val="0"/>
    <w:pPr>
      <w:keepNext/>
      <w:keepLines/>
      <w:spacing w:before="260" w:after="260" w:line="416" w:lineRule="auto"/>
      <w:jc w:val="center"/>
      <w:outlineLvl w:val="1"/>
    </w:pPr>
    <w:rPr>
      <w:rFonts w:ascii="Arial" w:hAnsi="Arial" w:eastAsia="黑体"/>
      <w:b/>
      <w:bCs/>
      <w:sz w:val="32"/>
      <w:szCs w:val="32"/>
    </w:rPr>
  </w:style>
  <w:style w:type="paragraph" w:styleId="4">
    <w:name w:val="heading 3"/>
    <w:basedOn w:val="1"/>
    <w:next w:val="1"/>
    <w:link w:val="40"/>
    <w:qFormat/>
    <w:locked/>
    <w:uiPriority w:val="0"/>
    <w:pPr>
      <w:keepNext/>
      <w:keepLines/>
      <w:spacing w:before="260" w:after="260" w:line="416" w:lineRule="auto"/>
      <w:outlineLvl w:val="2"/>
    </w:pPr>
    <w:rPr>
      <w:b/>
      <w:bCs/>
      <w:sz w:val="32"/>
      <w:szCs w:val="32"/>
    </w:rPr>
  </w:style>
  <w:style w:type="paragraph" w:styleId="5">
    <w:name w:val="heading 4"/>
    <w:basedOn w:val="1"/>
    <w:next w:val="1"/>
    <w:link w:val="139"/>
    <w:qFormat/>
    <w:locked/>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link w:val="67"/>
    <w:unhideWhenUsed/>
    <w:qFormat/>
    <w:uiPriority w:val="0"/>
    <w:pPr>
      <w:jc w:val="left"/>
    </w:pPr>
  </w:style>
  <w:style w:type="paragraph" w:styleId="8">
    <w:name w:val="Body Text"/>
    <w:basedOn w:val="1"/>
    <w:link w:val="56"/>
    <w:unhideWhenUsed/>
    <w:qFormat/>
    <w:uiPriority w:val="0"/>
    <w:pPr>
      <w:spacing w:after="120"/>
    </w:pPr>
  </w:style>
  <w:style w:type="paragraph" w:styleId="9">
    <w:name w:val="Body Text Indent"/>
    <w:basedOn w:val="1"/>
    <w:link w:val="44"/>
    <w:qFormat/>
    <w:uiPriority w:val="0"/>
    <w:pPr>
      <w:widowControl/>
      <w:spacing w:before="100" w:beforeAutospacing="1" w:after="100" w:afterAutospacing="1"/>
      <w:jc w:val="left"/>
    </w:pPr>
    <w:rPr>
      <w:rFonts w:ascii="宋体" w:hAnsi="宋体" w:eastAsia="等线" w:cs="宋体"/>
      <w:kern w:val="0"/>
      <w:sz w:val="24"/>
    </w:rPr>
  </w:style>
  <w:style w:type="paragraph" w:styleId="10">
    <w:name w:val="Plain Text"/>
    <w:basedOn w:val="1"/>
    <w:link w:val="74"/>
    <w:unhideWhenUsed/>
    <w:qFormat/>
    <w:uiPriority w:val="0"/>
    <w:rPr>
      <w:rFonts w:ascii="宋体" w:hAnsi="Courier New"/>
      <w:szCs w:val="20"/>
    </w:rPr>
  </w:style>
  <w:style w:type="paragraph" w:styleId="11">
    <w:name w:val="Date"/>
    <w:basedOn w:val="1"/>
    <w:next w:val="1"/>
    <w:link w:val="51"/>
    <w:qFormat/>
    <w:uiPriority w:val="0"/>
    <w:pPr>
      <w:ind w:left="100" w:leftChars="2500"/>
    </w:pPr>
    <w:rPr>
      <w:rFonts w:ascii="等线" w:hAnsi="等线" w:eastAsia="等线"/>
    </w:rPr>
  </w:style>
  <w:style w:type="paragraph" w:styleId="12">
    <w:name w:val="Body Text Indent 2"/>
    <w:basedOn w:val="1"/>
    <w:link w:val="54"/>
    <w:qFormat/>
    <w:uiPriority w:val="0"/>
    <w:pPr>
      <w:spacing w:afterLines="50"/>
      <w:ind w:firstLine="480" w:firstLineChars="200"/>
    </w:pPr>
    <w:rPr>
      <w:rFonts w:ascii="等线" w:hAnsi="等线" w:eastAsia="等线"/>
      <w:sz w:val="24"/>
    </w:rPr>
  </w:style>
  <w:style w:type="paragraph" w:styleId="13">
    <w:name w:val="endnote text"/>
    <w:basedOn w:val="1"/>
    <w:link w:val="69"/>
    <w:qFormat/>
    <w:uiPriority w:val="0"/>
    <w:pPr>
      <w:snapToGrid w:val="0"/>
      <w:jc w:val="left"/>
    </w:pPr>
    <w:rPr>
      <w:rFonts w:ascii="等线" w:hAnsi="等线" w:eastAsia="等线"/>
    </w:rPr>
  </w:style>
  <w:style w:type="paragraph" w:styleId="14">
    <w:name w:val="Balloon Text"/>
    <w:basedOn w:val="1"/>
    <w:link w:val="38"/>
    <w:unhideWhenUsed/>
    <w:uiPriority w:val="0"/>
    <w:rPr>
      <w:sz w:val="18"/>
      <w:szCs w:val="18"/>
    </w:rPr>
  </w:style>
  <w:style w:type="paragraph" w:styleId="15">
    <w:name w:val="footer"/>
    <w:basedOn w:val="1"/>
    <w:link w:val="35"/>
    <w:qFormat/>
    <w:uiPriority w:val="0"/>
    <w:pPr>
      <w:tabs>
        <w:tab w:val="center" w:pos="4153"/>
        <w:tab w:val="right" w:pos="8306"/>
      </w:tabs>
      <w:snapToGrid w:val="0"/>
      <w:jc w:val="left"/>
    </w:pPr>
    <w:rPr>
      <w:sz w:val="18"/>
      <w:szCs w:val="18"/>
    </w:rPr>
  </w:style>
  <w:style w:type="paragraph" w:styleId="16">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7">
    <w:name w:val="footnote text"/>
    <w:basedOn w:val="1"/>
    <w:link w:val="170"/>
    <w:uiPriority w:val="0"/>
    <w:pPr>
      <w:snapToGrid w:val="0"/>
      <w:jc w:val="left"/>
    </w:pPr>
    <w:rPr>
      <w:sz w:val="18"/>
      <w:szCs w:val="18"/>
    </w:rPr>
  </w:style>
  <w:style w:type="paragraph" w:styleId="18">
    <w:name w:val="HTML Preformatted"/>
    <w:basedOn w:val="1"/>
    <w:link w:val="8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等线" w:cs="宋体"/>
      <w:kern w:val="0"/>
      <w:sz w:val="24"/>
    </w:rPr>
  </w:style>
  <w:style w:type="paragraph" w:styleId="19">
    <w:name w:val="Normal (Web)"/>
    <w:basedOn w:val="1"/>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7"/>
    <w:next w:val="7"/>
    <w:link w:val="66"/>
    <w:unhideWhenUsed/>
    <w:qFormat/>
    <w:uiPriority w:val="0"/>
    <w:rPr>
      <w:rFonts w:ascii="等线" w:hAnsi="等线"/>
      <w:b/>
      <w:bCs/>
    </w:rPr>
  </w:style>
  <w:style w:type="table" w:styleId="22">
    <w:name w:val="Table Grid"/>
    <w:basedOn w:val="21"/>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Strong"/>
    <w:qFormat/>
    <w:locked/>
    <w:uiPriority w:val="0"/>
    <w:rPr>
      <w:b/>
      <w:bCs/>
    </w:rPr>
  </w:style>
  <w:style w:type="character" w:styleId="25">
    <w:name w:val="endnote reference"/>
    <w:qFormat/>
    <w:uiPriority w:val="99"/>
    <w:rPr>
      <w:rFonts w:cs="Times New Roman"/>
      <w:vertAlign w:val="superscript"/>
    </w:rPr>
  </w:style>
  <w:style w:type="character" w:styleId="26">
    <w:name w:val="page number"/>
    <w:unhideWhenUsed/>
    <w:qFormat/>
    <w:uiPriority w:val="0"/>
    <w:rPr>
      <w:rFonts w:cs="Times New Roman"/>
    </w:rPr>
  </w:style>
  <w:style w:type="character" w:styleId="27">
    <w:name w:val="FollowedHyperlink"/>
    <w:unhideWhenUsed/>
    <w:qFormat/>
    <w:uiPriority w:val="99"/>
    <w:rPr>
      <w:color w:val="666666"/>
      <w:u w:val="none"/>
    </w:rPr>
  </w:style>
  <w:style w:type="character" w:styleId="28">
    <w:name w:val="Emphasis"/>
    <w:qFormat/>
    <w:locked/>
    <w:uiPriority w:val="0"/>
    <w:rPr>
      <w:color w:val="CC0000"/>
    </w:rPr>
  </w:style>
  <w:style w:type="character" w:styleId="29">
    <w:name w:val="HTML Variable"/>
    <w:unhideWhenUsed/>
    <w:qFormat/>
    <w:uiPriority w:val="0"/>
    <w:rPr>
      <w:i/>
    </w:rPr>
  </w:style>
  <w:style w:type="character" w:styleId="30">
    <w:name w:val="Hyperlink"/>
    <w:qFormat/>
    <w:uiPriority w:val="99"/>
    <w:rPr>
      <w:color w:val="0000FF"/>
      <w:u w:val="single"/>
    </w:rPr>
  </w:style>
  <w:style w:type="character" w:styleId="31">
    <w:name w:val="HTML Code"/>
    <w:unhideWhenUsed/>
    <w:qFormat/>
    <w:uiPriority w:val="0"/>
    <w:rPr>
      <w:rFonts w:ascii="Courier New" w:hAnsi="Courier New"/>
      <w:sz w:val="20"/>
    </w:rPr>
  </w:style>
  <w:style w:type="character" w:styleId="32">
    <w:name w:val="annotation reference"/>
    <w:unhideWhenUsed/>
    <w:qFormat/>
    <w:uiPriority w:val="0"/>
    <w:rPr>
      <w:sz w:val="21"/>
      <w:szCs w:val="21"/>
    </w:rPr>
  </w:style>
  <w:style w:type="character" w:styleId="33">
    <w:name w:val="HTML Cite"/>
    <w:unhideWhenUsed/>
    <w:qFormat/>
    <w:uiPriority w:val="0"/>
    <w:rPr>
      <w:i/>
    </w:rPr>
  </w:style>
  <w:style w:type="character" w:styleId="34">
    <w:name w:val="footnote reference"/>
    <w:uiPriority w:val="0"/>
    <w:rPr>
      <w:vertAlign w:val="superscript"/>
    </w:rPr>
  </w:style>
  <w:style w:type="character" w:customStyle="1" w:styleId="35">
    <w:name w:val="页脚 Char1"/>
    <w:link w:val="15"/>
    <w:qFormat/>
    <w:locked/>
    <w:uiPriority w:val="0"/>
    <w:rPr>
      <w:rFonts w:ascii="Times New Roman" w:hAnsi="Times New Roman" w:eastAsia="宋体" w:cs="Times New Roman"/>
      <w:sz w:val="18"/>
      <w:szCs w:val="18"/>
    </w:rPr>
  </w:style>
  <w:style w:type="character" w:customStyle="1" w:styleId="36">
    <w:name w:val="页眉 Char1"/>
    <w:link w:val="16"/>
    <w:qFormat/>
    <w:locked/>
    <w:uiPriority w:val="0"/>
    <w:rPr>
      <w:rFonts w:ascii="Times New Roman" w:hAnsi="Times New Roman" w:eastAsia="宋体" w:cs="Times New Roman"/>
      <w:sz w:val="18"/>
      <w:szCs w:val="18"/>
    </w:rPr>
  </w:style>
  <w:style w:type="paragraph" w:customStyle="1" w:styleId="37">
    <w:name w:val="列出段落1"/>
    <w:basedOn w:val="1"/>
    <w:qFormat/>
    <w:uiPriority w:val="0"/>
    <w:pPr>
      <w:ind w:firstLine="420" w:firstLineChars="200"/>
    </w:pPr>
  </w:style>
  <w:style w:type="character" w:customStyle="1" w:styleId="38">
    <w:name w:val="批注框文本 Char2"/>
    <w:basedOn w:val="23"/>
    <w:link w:val="14"/>
    <w:qFormat/>
    <w:uiPriority w:val="0"/>
    <w:rPr>
      <w:rFonts w:ascii="Times New Roman" w:hAnsi="Times New Roman" w:eastAsia="宋体"/>
      <w:kern w:val="2"/>
      <w:sz w:val="18"/>
      <w:szCs w:val="18"/>
    </w:rPr>
  </w:style>
  <w:style w:type="character" w:customStyle="1" w:styleId="39">
    <w:name w:val="标题 1 Char1"/>
    <w:basedOn w:val="23"/>
    <w:link w:val="2"/>
    <w:qFormat/>
    <w:uiPriority w:val="0"/>
    <w:rPr>
      <w:rFonts w:ascii="Times New Roman" w:hAnsi="Times New Roman" w:eastAsia="宋体"/>
      <w:b/>
      <w:bCs/>
      <w:kern w:val="44"/>
      <w:sz w:val="24"/>
      <w:szCs w:val="44"/>
    </w:rPr>
  </w:style>
  <w:style w:type="character" w:customStyle="1" w:styleId="40">
    <w:name w:val="标题 3 Char1"/>
    <w:basedOn w:val="23"/>
    <w:link w:val="4"/>
    <w:qFormat/>
    <w:uiPriority w:val="0"/>
    <w:rPr>
      <w:rFonts w:ascii="Times New Roman" w:hAnsi="Times New Roman" w:eastAsia="宋体"/>
      <w:b/>
      <w:bCs/>
      <w:kern w:val="2"/>
      <w:sz w:val="32"/>
      <w:szCs w:val="32"/>
    </w:rPr>
  </w:style>
  <w:style w:type="character" w:customStyle="1" w:styleId="41">
    <w:name w:val="g_fk"/>
    <w:basedOn w:val="23"/>
    <w:qFormat/>
    <w:uiPriority w:val="0"/>
  </w:style>
  <w:style w:type="character" w:customStyle="1" w:styleId="42">
    <w:name w:val="Balloon Text Char"/>
    <w:semiHidden/>
    <w:qFormat/>
    <w:uiPriority w:val="99"/>
    <w:rPr>
      <w:kern w:val="0"/>
      <w:sz w:val="16"/>
      <w:szCs w:val="0"/>
    </w:rPr>
  </w:style>
  <w:style w:type="character" w:customStyle="1" w:styleId="43">
    <w:name w:val="gray18"/>
    <w:qFormat/>
    <w:uiPriority w:val="0"/>
    <w:rPr>
      <w:color w:val="404040"/>
      <w:bdr w:val="single" w:color="B4B4B4" w:sz="6" w:space="0"/>
      <w:shd w:val="clear" w:color="auto" w:fill="EAEAEA"/>
    </w:rPr>
  </w:style>
  <w:style w:type="character" w:customStyle="1" w:styleId="44">
    <w:name w:val="正文文本缩进 Char1"/>
    <w:link w:val="9"/>
    <w:qFormat/>
    <w:uiPriority w:val="0"/>
    <w:rPr>
      <w:rFonts w:ascii="宋体" w:hAnsi="宋体" w:cs="宋体"/>
      <w:sz w:val="24"/>
      <w:szCs w:val="24"/>
    </w:rPr>
  </w:style>
  <w:style w:type="character" w:customStyle="1" w:styleId="45">
    <w:name w:val="正文文本缩进 字符1"/>
    <w:basedOn w:val="23"/>
    <w:semiHidden/>
    <w:qFormat/>
    <w:uiPriority w:val="99"/>
    <w:rPr>
      <w:rFonts w:ascii="Times New Roman" w:hAnsi="Times New Roman" w:eastAsia="宋体"/>
      <w:kern w:val="2"/>
      <w:sz w:val="21"/>
      <w:szCs w:val="24"/>
    </w:rPr>
  </w:style>
  <w:style w:type="character" w:customStyle="1" w:styleId="46">
    <w:name w:val="Char Char81"/>
    <w:qFormat/>
    <w:uiPriority w:val="99"/>
    <w:rPr>
      <w:rFonts w:eastAsia="宋体"/>
      <w:b/>
      <w:kern w:val="44"/>
      <w:sz w:val="44"/>
      <w:lang w:val="en-US" w:eastAsia="zh-CN"/>
    </w:rPr>
  </w:style>
  <w:style w:type="character" w:customStyle="1" w:styleId="47">
    <w:name w:val="p0 Char"/>
    <w:link w:val="48"/>
    <w:qFormat/>
    <w:uiPriority w:val="0"/>
    <w:rPr>
      <w:rFonts w:ascii="宋体" w:hAnsi="宋体" w:eastAsia="宋体"/>
      <w:sz w:val="24"/>
    </w:rPr>
  </w:style>
  <w:style w:type="paragraph" w:customStyle="1" w:styleId="48">
    <w:name w:val="p0"/>
    <w:basedOn w:val="1"/>
    <w:link w:val="47"/>
    <w:qFormat/>
    <w:uiPriority w:val="0"/>
    <w:pPr>
      <w:widowControl/>
      <w:spacing w:before="100" w:beforeAutospacing="1" w:after="100" w:afterAutospacing="1"/>
      <w:jc w:val="left"/>
    </w:pPr>
    <w:rPr>
      <w:rFonts w:ascii="宋体" w:hAnsi="宋体"/>
      <w:kern w:val="0"/>
      <w:sz w:val="24"/>
      <w:szCs w:val="20"/>
    </w:rPr>
  </w:style>
  <w:style w:type="character" w:customStyle="1" w:styleId="49">
    <w:name w:val="纯文本 Char1"/>
    <w:qFormat/>
    <w:uiPriority w:val="99"/>
    <w:rPr>
      <w:rFonts w:ascii="宋体" w:hAnsi="Courier New" w:cs="Courier New"/>
      <w:kern w:val="2"/>
      <w:sz w:val="21"/>
      <w:szCs w:val="21"/>
    </w:rPr>
  </w:style>
  <w:style w:type="character" w:customStyle="1" w:styleId="50">
    <w:name w:val="Body Text Indent 2 Char"/>
    <w:semiHidden/>
    <w:qFormat/>
    <w:uiPriority w:val="99"/>
    <w:rPr>
      <w:kern w:val="0"/>
      <w:sz w:val="20"/>
      <w:szCs w:val="20"/>
    </w:rPr>
  </w:style>
  <w:style w:type="character" w:customStyle="1" w:styleId="51">
    <w:name w:val="日期 Char"/>
    <w:link w:val="11"/>
    <w:qFormat/>
    <w:uiPriority w:val="0"/>
    <w:rPr>
      <w:kern w:val="2"/>
      <w:sz w:val="21"/>
      <w:szCs w:val="24"/>
    </w:rPr>
  </w:style>
  <w:style w:type="character" w:customStyle="1" w:styleId="52">
    <w:name w:val="日期 字符1"/>
    <w:basedOn w:val="23"/>
    <w:semiHidden/>
    <w:qFormat/>
    <w:uiPriority w:val="99"/>
    <w:rPr>
      <w:rFonts w:ascii="Times New Roman" w:hAnsi="Times New Roman" w:eastAsia="宋体"/>
      <w:kern w:val="2"/>
      <w:sz w:val="21"/>
      <w:szCs w:val="24"/>
    </w:rPr>
  </w:style>
  <w:style w:type="character" w:customStyle="1" w:styleId="53">
    <w:name w:val="style11"/>
    <w:basedOn w:val="23"/>
    <w:qFormat/>
    <w:uiPriority w:val="0"/>
  </w:style>
  <w:style w:type="character" w:customStyle="1" w:styleId="54">
    <w:name w:val="正文文本缩进 2 Char2"/>
    <w:link w:val="12"/>
    <w:qFormat/>
    <w:uiPriority w:val="0"/>
    <w:rPr>
      <w:kern w:val="2"/>
      <w:sz w:val="24"/>
      <w:szCs w:val="24"/>
    </w:rPr>
  </w:style>
  <w:style w:type="character" w:customStyle="1" w:styleId="55">
    <w:name w:val="正文文本缩进 2 字符1"/>
    <w:basedOn w:val="23"/>
    <w:semiHidden/>
    <w:qFormat/>
    <w:uiPriority w:val="99"/>
    <w:rPr>
      <w:rFonts w:ascii="Times New Roman" w:hAnsi="Times New Roman" w:eastAsia="宋体"/>
      <w:kern w:val="2"/>
      <w:sz w:val="21"/>
      <w:szCs w:val="24"/>
    </w:rPr>
  </w:style>
  <w:style w:type="character" w:customStyle="1" w:styleId="56">
    <w:name w:val="正文文本 Char2"/>
    <w:link w:val="8"/>
    <w:qFormat/>
    <w:uiPriority w:val="0"/>
    <w:rPr>
      <w:rFonts w:ascii="Times New Roman" w:hAnsi="Times New Roman" w:eastAsia="宋体"/>
      <w:kern w:val="2"/>
      <w:sz w:val="21"/>
      <w:szCs w:val="24"/>
    </w:rPr>
  </w:style>
  <w:style w:type="character" w:customStyle="1" w:styleId="57">
    <w:name w:val="Char Char"/>
    <w:qFormat/>
    <w:uiPriority w:val="0"/>
    <w:rPr>
      <w:rFonts w:ascii="宋体" w:hAnsi="Courier New"/>
      <w:kern w:val="2"/>
      <w:sz w:val="21"/>
      <w:lang w:bidi="ar-SA"/>
    </w:rPr>
  </w:style>
  <w:style w:type="character" w:customStyle="1" w:styleId="58">
    <w:name w:val="g_th3"/>
    <w:basedOn w:val="23"/>
    <w:qFormat/>
    <w:uiPriority w:val="0"/>
  </w:style>
  <w:style w:type="character" w:customStyle="1" w:styleId="59">
    <w:name w:val="Heading 1 Char"/>
    <w:qFormat/>
    <w:uiPriority w:val="9"/>
    <w:rPr>
      <w:b/>
      <w:bCs/>
      <w:kern w:val="44"/>
      <w:sz w:val="44"/>
      <w:szCs w:val="44"/>
    </w:rPr>
  </w:style>
  <w:style w:type="character" w:customStyle="1" w:styleId="60">
    <w:name w:val="onlines1"/>
    <w:basedOn w:val="23"/>
    <w:qFormat/>
    <w:uiPriority w:val="0"/>
  </w:style>
  <w:style w:type="character" w:customStyle="1" w:styleId="61">
    <w:name w:val="g_fz"/>
    <w:basedOn w:val="23"/>
    <w:qFormat/>
    <w:uiPriority w:val="0"/>
  </w:style>
  <w:style w:type="character" w:customStyle="1" w:styleId="62">
    <w:name w:val="shop_score_box_p1"/>
    <w:qFormat/>
    <w:uiPriority w:val="0"/>
    <w:rPr>
      <w:color w:val="FFFFFF"/>
      <w:sz w:val="21"/>
      <w:szCs w:val="21"/>
    </w:rPr>
  </w:style>
  <w:style w:type="character" w:customStyle="1" w:styleId="63">
    <w:name w:val="Char Char8"/>
    <w:qFormat/>
    <w:uiPriority w:val="0"/>
    <w:rPr>
      <w:rFonts w:eastAsia="宋体"/>
      <w:b/>
      <w:bCs/>
      <w:kern w:val="44"/>
      <w:sz w:val="44"/>
      <w:szCs w:val="44"/>
      <w:lang w:val="en-US" w:eastAsia="zh-CN" w:bidi="ar-SA"/>
    </w:rPr>
  </w:style>
  <w:style w:type="character" w:customStyle="1" w:styleId="64">
    <w:name w:val="lemmatitleh11"/>
    <w:basedOn w:val="23"/>
    <w:qFormat/>
    <w:uiPriority w:val="0"/>
  </w:style>
  <w:style w:type="character" w:customStyle="1" w:styleId="65">
    <w:name w:val="g_tj"/>
    <w:basedOn w:val="23"/>
    <w:qFormat/>
    <w:uiPriority w:val="0"/>
  </w:style>
  <w:style w:type="character" w:customStyle="1" w:styleId="66">
    <w:name w:val="批注主题 Char2"/>
    <w:link w:val="20"/>
    <w:qFormat/>
    <w:uiPriority w:val="0"/>
    <w:rPr>
      <w:rFonts w:eastAsia="宋体"/>
      <w:b/>
      <w:bCs/>
      <w:kern w:val="2"/>
      <w:sz w:val="21"/>
      <w:szCs w:val="24"/>
    </w:rPr>
  </w:style>
  <w:style w:type="character" w:customStyle="1" w:styleId="67">
    <w:name w:val="批注文字 Char1"/>
    <w:basedOn w:val="23"/>
    <w:link w:val="7"/>
    <w:qFormat/>
    <w:uiPriority w:val="0"/>
    <w:rPr>
      <w:rFonts w:ascii="Times New Roman" w:hAnsi="Times New Roman" w:eastAsia="宋体"/>
      <w:kern w:val="2"/>
      <w:sz w:val="21"/>
      <w:szCs w:val="24"/>
    </w:rPr>
  </w:style>
  <w:style w:type="character" w:customStyle="1" w:styleId="68">
    <w:name w:val="批注主题 字符1"/>
    <w:basedOn w:val="67"/>
    <w:semiHidden/>
    <w:qFormat/>
    <w:uiPriority w:val="99"/>
    <w:rPr>
      <w:rFonts w:ascii="Times New Roman" w:hAnsi="Times New Roman" w:eastAsia="宋体"/>
      <w:b/>
      <w:bCs/>
      <w:kern w:val="2"/>
      <w:sz w:val="21"/>
      <w:szCs w:val="24"/>
    </w:rPr>
  </w:style>
  <w:style w:type="character" w:customStyle="1" w:styleId="69">
    <w:name w:val="尾注文本 Char"/>
    <w:link w:val="13"/>
    <w:qFormat/>
    <w:uiPriority w:val="0"/>
    <w:rPr>
      <w:kern w:val="2"/>
      <w:sz w:val="21"/>
      <w:szCs w:val="24"/>
    </w:rPr>
  </w:style>
  <w:style w:type="character" w:customStyle="1" w:styleId="70">
    <w:name w:val="尾注文本 字符1"/>
    <w:basedOn w:val="23"/>
    <w:semiHidden/>
    <w:qFormat/>
    <w:uiPriority w:val="99"/>
    <w:rPr>
      <w:rFonts w:ascii="Times New Roman" w:hAnsi="Times New Roman" w:eastAsia="宋体"/>
      <w:kern w:val="2"/>
      <w:sz w:val="21"/>
      <w:szCs w:val="24"/>
    </w:rPr>
  </w:style>
  <w:style w:type="character" w:customStyle="1" w:styleId="71">
    <w:name w:val="Char Char4"/>
    <w:qFormat/>
    <w:uiPriority w:val="0"/>
    <w:rPr>
      <w:rFonts w:ascii="宋体" w:hAnsi="Courier New" w:eastAsia="宋体"/>
      <w:kern w:val="2"/>
      <w:sz w:val="21"/>
      <w:lang w:val="en-US" w:eastAsia="zh-CN" w:bidi="ar-SA"/>
    </w:rPr>
  </w:style>
  <w:style w:type="character" w:customStyle="1" w:styleId="72">
    <w:name w:val="g_hh"/>
    <w:basedOn w:val="23"/>
    <w:qFormat/>
    <w:uiPriority w:val="0"/>
  </w:style>
  <w:style w:type="character" w:customStyle="1" w:styleId="73">
    <w:name w:val="shop_collect_btn"/>
    <w:basedOn w:val="23"/>
    <w:qFormat/>
    <w:uiPriority w:val="0"/>
  </w:style>
  <w:style w:type="character" w:customStyle="1" w:styleId="74">
    <w:name w:val="纯文本 Char2"/>
    <w:link w:val="10"/>
    <w:qFormat/>
    <w:uiPriority w:val="0"/>
    <w:rPr>
      <w:rFonts w:ascii="宋体" w:hAnsi="Courier New" w:eastAsia="宋体"/>
      <w:kern w:val="2"/>
      <w:sz w:val="21"/>
    </w:rPr>
  </w:style>
  <w:style w:type="character" w:customStyle="1" w:styleId="75">
    <w:name w:val="shop_score_box_p"/>
    <w:qFormat/>
    <w:uiPriority w:val="0"/>
    <w:rPr>
      <w:color w:val="FFFFFF"/>
    </w:rPr>
  </w:style>
  <w:style w:type="character" w:customStyle="1" w:styleId="76">
    <w:name w:val="g_fk1"/>
    <w:basedOn w:val="23"/>
    <w:qFormat/>
    <w:uiPriority w:val="0"/>
  </w:style>
  <w:style w:type="character" w:customStyle="1" w:styleId="77">
    <w:name w:val="g_fh1"/>
    <w:basedOn w:val="23"/>
    <w:qFormat/>
    <w:uiPriority w:val="0"/>
  </w:style>
  <w:style w:type="character" w:customStyle="1" w:styleId="78">
    <w:name w:val="offlines1"/>
    <w:basedOn w:val="23"/>
    <w:qFormat/>
    <w:uiPriority w:val="0"/>
  </w:style>
  <w:style w:type="character" w:customStyle="1" w:styleId="79">
    <w:name w:val="g_fz1"/>
    <w:basedOn w:val="23"/>
    <w:uiPriority w:val="0"/>
  </w:style>
  <w:style w:type="character" w:customStyle="1" w:styleId="80">
    <w:name w:val="gray19"/>
    <w:uiPriority w:val="0"/>
    <w:rPr>
      <w:color w:val="404040"/>
      <w:bdr w:val="single" w:color="B4B4B4" w:sz="6" w:space="0"/>
      <w:shd w:val="clear" w:color="auto" w:fill="EAEAEA"/>
    </w:rPr>
  </w:style>
  <w:style w:type="character" w:customStyle="1" w:styleId="81">
    <w:name w:val="Heading 3 Char"/>
    <w:semiHidden/>
    <w:uiPriority w:val="9"/>
    <w:rPr>
      <w:b/>
      <w:bCs/>
      <w:kern w:val="0"/>
      <w:sz w:val="32"/>
      <w:szCs w:val="32"/>
    </w:rPr>
  </w:style>
  <w:style w:type="character" w:customStyle="1" w:styleId="82">
    <w:name w:val="HTML 预设格式 Char2"/>
    <w:link w:val="18"/>
    <w:uiPriority w:val="0"/>
    <w:rPr>
      <w:rFonts w:ascii="宋体" w:hAnsi="宋体" w:cs="宋体"/>
      <w:sz w:val="24"/>
      <w:szCs w:val="24"/>
    </w:rPr>
  </w:style>
  <w:style w:type="character" w:customStyle="1" w:styleId="83">
    <w:name w:val="HTML 预设格式 字符1"/>
    <w:basedOn w:val="23"/>
    <w:semiHidden/>
    <w:uiPriority w:val="99"/>
    <w:rPr>
      <w:rFonts w:ascii="Courier New" w:hAnsi="Courier New" w:eastAsia="宋体" w:cs="Courier New"/>
      <w:kern w:val="2"/>
    </w:rPr>
  </w:style>
  <w:style w:type="character" w:customStyle="1" w:styleId="84">
    <w:name w:val="red20"/>
    <w:uiPriority w:val="0"/>
    <w:rPr>
      <w:color w:val="CC3300"/>
    </w:rPr>
  </w:style>
  <w:style w:type="character" w:customStyle="1" w:styleId="85">
    <w:name w:val="yj"/>
    <w:uiPriority w:val="0"/>
  </w:style>
  <w:style w:type="character" w:customStyle="1" w:styleId="86">
    <w:name w:val="g_tj1"/>
    <w:basedOn w:val="23"/>
    <w:uiPriority w:val="0"/>
  </w:style>
  <w:style w:type="character" w:customStyle="1" w:styleId="87">
    <w:name w:val="g_th2"/>
    <w:basedOn w:val="23"/>
    <w:uiPriority w:val="0"/>
  </w:style>
  <w:style w:type="character" w:customStyle="1" w:styleId="88">
    <w:name w:val="Footer Char"/>
    <w:semiHidden/>
    <w:uiPriority w:val="99"/>
    <w:rPr>
      <w:kern w:val="0"/>
      <w:sz w:val="18"/>
      <w:szCs w:val="18"/>
    </w:rPr>
  </w:style>
  <w:style w:type="character" w:customStyle="1" w:styleId="89">
    <w:name w:val="font01"/>
    <w:uiPriority w:val="0"/>
    <w:rPr>
      <w:rFonts w:hint="default" w:ascii="Times New Roman" w:hAnsi="Times New Roman" w:cs="Times New Roman"/>
      <w:color w:val="000000"/>
      <w:sz w:val="20"/>
      <w:szCs w:val="20"/>
    </w:rPr>
  </w:style>
  <w:style w:type="character" w:customStyle="1" w:styleId="90">
    <w:name w:val="other"/>
    <w:basedOn w:val="23"/>
    <w:uiPriority w:val="0"/>
  </w:style>
  <w:style w:type="character" w:customStyle="1" w:styleId="91">
    <w:name w:val="g_th1"/>
    <w:basedOn w:val="23"/>
    <w:uiPriority w:val="0"/>
  </w:style>
  <w:style w:type="character" w:customStyle="1" w:styleId="92">
    <w:name w:val="g_cf"/>
    <w:basedOn w:val="23"/>
    <w:uiPriority w:val="0"/>
  </w:style>
  <w:style w:type="character" w:customStyle="1" w:styleId="93">
    <w:name w:val="g_hh1"/>
    <w:basedOn w:val="23"/>
    <w:uiPriority w:val="0"/>
  </w:style>
  <w:style w:type="character" w:customStyle="1" w:styleId="94">
    <w:name w:val="now"/>
    <w:basedOn w:val="23"/>
    <w:uiPriority w:val="0"/>
  </w:style>
  <w:style w:type="character" w:customStyle="1" w:styleId="95">
    <w:name w:val="onlines"/>
    <w:uiPriority w:val="0"/>
    <w:rPr>
      <w:color w:val="664422"/>
    </w:rPr>
  </w:style>
  <w:style w:type="character" w:customStyle="1" w:styleId="96">
    <w:name w:val="HTML Preformatted Char"/>
    <w:semiHidden/>
    <w:uiPriority w:val="99"/>
    <w:rPr>
      <w:rFonts w:ascii="Courier New" w:hAnsi="Courier New" w:cs="Courier New"/>
      <w:kern w:val="0"/>
      <w:sz w:val="20"/>
      <w:szCs w:val="20"/>
    </w:rPr>
  </w:style>
  <w:style w:type="character" w:customStyle="1" w:styleId="97">
    <w:name w:val="dot"/>
    <w:uiPriority w:val="0"/>
    <w:rPr>
      <w:rFonts w:ascii="Arial" w:hAnsi="Arial" w:cs="Arial"/>
      <w:b/>
      <w:color w:val="A1A1A1"/>
      <w:spacing w:val="0"/>
      <w:sz w:val="19"/>
      <w:szCs w:val="19"/>
    </w:rPr>
  </w:style>
  <w:style w:type="character" w:customStyle="1" w:styleId="98">
    <w:name w:val="Body Text Char"/>
    <w:semiHidden/>
    <w:uiPriority w:val="99"/>
    <w:rPr>
      <w:kern w:val="0"/>
      <w:sz w:val="20"/>
      <w:szCs w:val="20"/>
    </w:rPr>
  </w:style>
  <w:style w:type="character" w:customStyle="1" w:styleId="99">
    <w:name w:val="offlines"/>
    <w:uiPriority w:val="0"/>
    <w:rPr>
      <w:color w:val="664422"/>
    </w:rPr>
  </w:style>
  <w:style w:type="character" w:customStyle="1" w:styleId="100">
    <w:name w:val="g_th"/>
    <w:basedOn w:val="23"/>
    <w:uiPriority w:val="0"/>
  </w:style>
  <w:style w:type="character" w:customStyle="1" w:styleId="101">
    <w:name w:val="gray"/>
    <w:uiPriority w:val="0"/>
    <w:rPr>
      <w:color w:val="404040"/>
      <w:bdr w:val="single" w:color="B4B4B4" w:sz="6" w:space="0"/>
      <w:shd w:val="clear" w:color="auto" w:fill="EAEAEA"/>
    </w:rPr>
  </w:style>
  <w:style w:type="character" w:customStyle="1" w:styleId="102">
    <w:name w:val="red"/>
    <w:uiPriority w:val="0"/>
    <w:rPr>
      <w:color w:val="CC3300"/>
    </w:rPr>
  </w:style>
  <w:style w:type="character" w:customStyle="1" w:styleId="103">
    <w:name w:val="g_fh"/>
    <w:basedOn w:val="23"/>
    <w:uiPriority w:val="0"/>
  </w:style>
  <w:style w:type="character" w:customStyle="1" w:styleId="104">
    <w:name w:val="font21"/>
    <w:uiPriority w:val="0"/>
    <w:rPr>
      <w:rFonts w:hint="eastAsia" w:ascii="宋体" w:hAnsi="宋体" w:eastAsia="宋体" w:cs="宋体"/>
      <w:color w:val="000000"/>
      <w:sz w:val="20"/>
      <w:szCs w:val="20"/>
    </w:rPr>
  </w:style>
  <w:style w:type="character" w:customStyle="1" w:styleId="105">
    <w:name w:val="g_cf1"/>
    <w:basedOn w:val="23"/>
    <w:uiPriority w:val="0"/>
  </w:style>
  <w:style w:type="character" w:customStyle="1" w:styleId="106">
    <w:name w:val="Char Char82"/>
    <w:uiPriority w:val="0"/>
    <w:rPr>
      <w:rFonts w:eastAsia="宋体"/>
      <w:b/>
      <w:bCs/>
      <w:kern w:val="44"/>
      <w:sz w:val="44"/>
      <w:szCs w:val="44"/>
      <w:lang w:val="en-US" w:eastAsia="zh-CN" w:bidi="ar-SA"/>
    </w:rPr>
  </w:style>
  <w:style w:type="character" w:customStyle="1" w:styleId="107">
    <w:name w:val="Char Char42"/>
    <w:uiPriority w:val="0"/>
    <w:rPr>
      <w:rFonts w:ascii="宋体" w:hAnsi="Courier New" w:eastAsia="宋体"/>
      <w:kern w:val="2"/>
      <w:sz w:val="21"/>
      <w:lang w:val="en-US" w:eastAsia="zh-CN" w:bidi="ar-SA"/>
    </w:rPr>
  </w:style>
  <w:style w:type="character" w:customStyle="1" w:styleId="108">
    <w:name w:val="Char Char41"/>
    <w:uiPriority w:val="99"/>
    <w:rPr>
      <w:rFonts w:ascii="宋体" w:hAnsi="Courier New" w:eastAsia="宋体"/>
      <w:kern w:val="2"/>
      <w:sz w:val="21"/>
      <w:lang w:val="en-US" w:eastAsia="zh-CN"/>
    </w:rPr>
  </w:style>
  <w:style w:type="character" w:customStyle="1" w:styleId="109">
    <w:name w:val="Char Char1"/>
    <w:uiPriority w:val="0"/>
    <w:rPr>
      <w:rFonts w:ascii="宋体" w:hAnsi="Courier New"/>
      <w:kern w:val="2"/>
      <w:sz w:val="21"/>
      <w:lang w:bidi="ar-SA"/>
    </w:rPr>
  </w:style>
  <w:style w:type="character" w:customStyle="1" w:styleId="110">
    <w:name w:val="文 Char"/>
    <w:link w:val="111"/>
    <w:locked/>
    <w:uiPriority w:val="0"/>
    <w:rPr>
      <w:rFonts w:hAnsi="宋体"/>
      <w:kern w:val="2"/>
      <w:sz w:val="24"/>
    </w:rPr>
  </w:style>
  <w:style w:type="paragraph" w:customStyle="1" w:styleId="111">
    <w:name w:val="文"/>
    <w:basedOn w:val="1"/>
    <w:link w:val="110"/>
    <w:uiPriority w:val="0"/>
    <w:pPr>
      <w:spacing w:line="300" w:lineRule="auto"/>
      <w:ind w:firstLine="480" w:firstLineChars="200"/>
    </w:pPr>
    <w:rPr>
      <w:rFonts w:ascii="等线" w:hAnsi="宋体" w:eastAsia="等线"/>
      <w:sz w:val="24"/>
      <w:szCs w:val="20"/>
    </w:rPr>
  </w:style>
  <w:style w:type="character" w:customStyle="1" w:styleId="112">
    <w:name w:val="Char Char15"/>
    <w:uiPriority w:val="99"/>
    <w:rPr>
      <w:rFonts w:ascii="宋体" w:hAnsi="Courier New"/>
      <w:kern w:val="2"/>
      <w:sz w:val="21"/>
    </w:rPr>
  </w:style>
  <w:style w:type="character" w:customStyle="1" w:styleId="113">
    <w:name w:val="Header Char"/>
    <w:semiHidden/>
    <w:uiPriority w:val="99"/>
    <w:rPr>
      <w:kern w:val="0"/>
      <w:sz w:val="18"/>
      <w:szCs w:val="18"/>
    </w:rPr>
  </w:style>
  <w:style w:type="character" w:customStyle="1" w:styleId="114">
    <w:name w:val="book_title"/>
    <w:basedOn w:val="23"/>
    <w:uiPriority w:val="0"/>
  </w:style>
  <w:style w:type="character" w:customStyle="1" w:styleId="115">
    <w:name w:val="banner"/>
    <w:uiPriority w:val="99"/>
    <w:rPr>
      <w:rFonts w:cs="Times New Roman"/>
    </w:rPr>
  </w:style>
  <w:style w:type="character" w:customStyle="1" w:styleId="116">
    <w:name w:val="Body Text Indent Char"/>
    <w:semiHidden/>
    <w:uiPriority w:val="99"/>
    <w:rPr>
      <w:kern w:val="0"/>
      <w:sz w:val="20"/>
      <w:szCs w:val="20"/>
    </w:rPr>
  </w:style>
  <w:style w:type="character" w:customStyle="1" w:styleId="117">
    <w:name w:val="Comment Text Char"/>
    <w:semiHidden/>
    <w:uiPriority w:val="99"/>
    <w:rPr>
      <w:kern w:val="0"/>
      <w:sz w:val="20"/>
      <w:szCs w:val="20"/>
    </w:rPr>
  </w:style>
  <w:style w:type="character" w:customStyle="1" w:styleId="118">
    <w:name w:val="Comment Subject Char"/>
    <w:semiHidden/>
    <w:uiPriority w:val="99"/>
    <w:rPr>
      <w:b/>
      <w:bCs/>
      <w:kern w:val="0"/>
      <w:sz w:val="20"/>
      <w:szCs w:val="20"/>
    </w:rPr>
  </w:style>
  <w:style w:type="character" w:customStyle="1" w:styleId="119">
    <w:name w:val="批注主题 Char1"/>
    <w:uiPriority w:val="99"/>
    <w:rPr>
      <w:rFonts w:ascii="Arial" w:hAnsi="Arial" w:eastAsia="宋体" w:cs="Arial"/>
      <w:b/>
      <w:bCs/>
      <w:kern w:val="2"/>
      <w:sz w:val="21"/>
      <w:lang w:val="en-US" w:eastAsia="zh-CN" w:bidi="ar-SA"/>
    </w:rPr>
  </w:style>
  <w:style w:type="character" w:customStyle="1" w:styleId="120">
    <w:name w:val="HTML 预设格式 Char1"/>
    <w:uiPriority w:val="99"/>
    <w:rPr>
      <w:rFonts w:ascii="Courier New" w:hAnsi="Courier New" w:cs="Courier New"/>
      <w:kern w:val="2"/>
    </w:rPr>
  </w:style>
  <w:style w:type="character" w:customStyle="1" w:styleId="121">
    <w:name w:val="Plain Text Char"/>
    <w:semiHidden/>
    <w:uiPriority w:val="99"/>
    <w:rPr>
      <w:rFonts w:ascii="宋体" w:hAnsi="Courier New" w:cs="Courier New"/>
      <w:kern w:val="0"/>
      <w:szCs w:val="21"/>
    </w:rPr>
  </w:style>
  <w:style w:type="character" w:customStyle="1" w:styleId="122">
    <w:name w:val="批注框文本 Char1"/>
    <w:uiPriority w:val="99"/>
    <w:rPr>
      <w:rFonts w:cs="Times New Roman"/>
      <w:kern w:val="2"/>
      <w:sz w:val="18"/>
      <w:szCs w:val="18"/>
    </w:rPr>
  </w:style>
  <w:style w:type="paragraph" w:customStyle="1" w:styleId="123">
    <w:name w:val="Char"/>
    <w:basedOn w:val="1"/>
    <w:uiPriority w:val="0"/>
  </w:style>
  <w:style w:type="paragraph" w:styleId="124">
    <w:name w:val="No Spacing"/>
    <w:qFormat/>
    <w:uiPriority w:val="0"/>
    <w:rPr>
      <w:rFonts w:ascii="Times New Roman" w:hAnsi="Times New Roman" w:eastAsia="宋体" w:cs="Times New Roman"/>
      <w:sz w:val="32"/>
      <w:lang w:val="en-US" w:eastAsia="zh-CN" w:bidi="ar-SA"/>
    </w:rPr>
  </w:style>
  <w:style w:type="paragraph" w:customStyle="1" w:styleId="125">
    <w:name w:val="xl26"/>
    <w:basedOn w:val="1"/>
    <w:uiPriority w:val="0"/>
    <w:pPr>
      <w:widowControl/>
      <w:pBdr>
        <w:bottom w:val="single" w:color="auto" w:sz="4" w:space="0"/>
        <w:right w:val="single" w:color="auto" w:sz="4" w:space="0"/>
      </w:pBdr>
      <w:spacing w:before="100" w:beforeAutospacing="1" w:after="100" w:afterAutospacing="1"/>
      <w:jc w:val="center"/>
    </w:pPr>
    <w:rPr>
      <w:kern w:val="0"/>
      <w:sz w:val="18"/>
      <w:szCs w:val="18"/>
    </w:rPr>
  </w:style>
  <w:style w:type="paragraph" w:customStyle="1" w:styleId="126">
    <w:name w:val="wpsplain"/>
    <w:basedOn w:val="1"/>
    <w:uiPriority w:val="0"/>
    <w:pPr>
      <w:widowControl/>
      <w:spacing w:before="100" w:beforeAutospacing="1" w:after="100" w:afterAutospacing="1"/>
      <w:jc w:val="left"/>
    </w:pPr>
    <w:rPr>
      <w:rFonts w:ascii="宋体" w:hAnsi="宋体" w:cs="宋体"/>
      <w:kern w:val="0"/>
      <w:sz w:val="24"/>
    </w:rPr>
  </w:style>
  <w:style w:type="paragraph" w:customStyle="1" w:styleId="127">
    <w:name w:val="1"/>
    <w:basedOn w:val="1"/>
    <w:next w:val="128"/>
    <w:qFormat/>
    <w:uiPriority w:val="0"/>
    <w:pPr>
      <w:ind w:firstLine="420" w:firstLineChars="200"/>
    </w:pPr>
  </w:style>
  <w:style w:type="paragraph" w:styleId="128">
    <w:name w:val="List Paragraph"/>
    <w:basedOn w:val="1"/>
    <w:qFormat/>
    <w:uiPriority w:val="0"/>
    <w:pPr>
      <w:ind w:firstLine="420" w:firstLineChars="200"/>
    </w:pPr>
  </w:style>
  <w:style w:type="paragraph" w:customStyle="1" w:styleId="129">
    <w:name w:val="p18"/>
    <w:basedOn w:val="1"/>
    <w:uiPriority w:val="0"/>
    <w:pPr>
      <w:widowControl/>
      <w:spacing w:before="100" w:beforeAutospacing="1" w:after="100" w:afterAutospacing="1"/>
      <w:jc w:val="left"/>
    </w:pPr>
    <w:rPr>
      <w:rFonts w:ascii="宋体" w:hAnsi="宋体" w:cs="宋体"/>
      <w:kern w:val="0"/>
      <w:sz w:val="24"/>
    </w:rPr>
  </w:style>
  <w:style w:type="paragraph" w:customStyle="1" w:styleId="130">
    <w:name w:val="msonormal2"/>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Char1"/>
    <w:basedOn w:val="1"/>
    <w:uiPriority w:val="99"/>
  </w:style>
  <w:style w:type="paragraph" w:customStyle="1" w:styleId="132">
    <w:name w:val="无间隔1"/>
    <w:uiPriority w:val="99"/>
    <w:rPr>
      <w:rFonts w:ascii="Times New Roman" w:hAnsi="Times New Roman" w:eastAsia="宋体" w:cs="Times New Roman"/>
      <w:sz w:val="32"/>
      <w:lang w:val="en-US" w:eastAsia="zh-CN" w:bidi="ar-SA"/>
    </w:rPr>
  </w:style>
  <w:style w:type="paragraph" w:customStyle="1" w:styleId="133">
    <w:name w:val="xl25"/>
    <w:basedOn w:val="1"/>
    <w:uiPriority w:val="0"/>
    <w:pPr>
      <w:widowControl/>
      <w:pBdr>
        <w:left w:val="single" w:color="auto" w:sz="4" w:space="0"/>
        <w:bottom w:val="single" w:color="auto" w:sz="4" w:space="0"/>
        <w:right w:val="single" w:color="auto" w:sz="4" w:space="0"/>
      </w:pBdr>
      <w:spacing w:before="100" w:beforeAutospacing="1" w:after="100" w:afterAutospacing="1"/>
    </w:pPr>
    <w:rPr>
      <w:rFonts w:hint="eastAsia" w:ascii="宋体" w:hAnsi="宋体"/>
      <w:kern w:val="0"/>
      <w:sz w:val="18"/>
      <w:szCs w:val="18"/>
    </w:rPr>
  </w:style>
  <w:style w:type="paragraph" w:customStyle="1" w:styleId="134">
    <w:name w:val="Char Char Char Char Char Char Char Char Char"/>
    <w:basedOn w:val="1"/>
    <w:uiPriority w:val="0"/>
    <w:pPr>
      <w:widowControl/>
      <w:spacing w:after="160" w:line="240" w:lineRule="exact"/>
      <w:jc w:val="left"/>
    </w:pPr>
    <w:rPr>
      <w:rFonts w:ascii="Verdana" w:hAnsi="Verdana"/>
      <w:kern w:val="0"/>
      <w:szCs w:val="20"/>
      <w:lang w:eastAsia="en-US"/>
    </w:rPr>
  </w:style>
  <w:style w:type="paragraph" w:customStyle="1" w:styleId="135">
    <w:name w:val="Char2"/>
    <w:basedOn w:val="1"/>
    <w:uiPriority w:val="0"/>
  </w:style>
  <w:style w:type="paragraph" w:customStyle="1" w:styleId="136">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37">
    <w:name w:val="myOwnTableStyle"/>
    <w:uiPriority w:val="99"/>
    <w:rPr>
      <w:rFonts w:ascii="Arial" w:hAnsi="Arial" w:cs="Arial"/>
    </w:rPr>
    <w:tblP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60" w:type="dxa"/>
        <w:left w:w="0" w:type="dxa"/>
        <w:bottom w:w="0" w:type="dxa"/>
        <w:right w:w="0" w:type="dxa"/>
      </w:tblCellMar>
    </w:tblPr>
  </w:style>
  <w:style w:type="character" w:customStyle="1" w:styleId="138">
    <w:name w:val="标题 2 Char"/>
    <w:basedOn w:val="23"/>
    <w:link w:val="3"/>
    <w:uiPriority w:val="0"/>
    <w:rPr>
      <w:rFonts w:ascii="Arial" w:hAnsi="Arial" w:eastAsia="黑体"/>
      <w:b/>
      <w:bCs/>
      <w:kern w:val="2"/>
      <w:sz w:val="32"/>
      <w:szCs w:val="32"/>
    </w:rPr>
  </w:style>
  <w:style w:type="character" w:customStyle="1" w:styleId="139">
    <w:name w:val="标题 4 Char"/>
    <w:basedOn w:val="23"/>
    <w:link w:val="5"/>
    <w:uiPriority w:val="0"/>
    <w:rPr>
      <w:rFonts w:ascii="Arial" w:hAnsi="Arial" w:eastAsia="黑体"/>
      <w:b/>
      <w:bCs/>
      <w:kern w:val="2"/>
      <w:sz w:val="28"/>
      <w:szCs w:val="28"/>
    </w:rPr>
  </w:style>
  <w:style w:type="character" w:customStyle="1" w:styleId="140">
    <w:name w:val="标题 1 Char"/>
    <w:locked/>
    <w:uiPriority w:val="0"/>
    <w:rPr>
      <w:rFonts w:ascii="宋体" w:hAnsi="宋体" w:eastAsia="宋体" w:cs="宋体"/>
      <w:b/>
      <w:bCs/>
      <w:kern w:val="36"/>
      <w:sz w:val="48"/>
      <w:szCs w:val="48"/>
      <w:lang w:val="en-US" w:eastAsia="zh-CN" w:bidi="ar-SA"/>
    </w:rPr>
  </w:style>
  <w:style w:type="character" w:customStyle="1" w:styleId="141">
    <w:name w:val="标题 3 Char"/>
    <w:uiPriority w:val="0"/>
    <w:rPr>
      <w:b/>
      <w:bCs/>
      <w:kern w:val="2"/>
      <w:sz w:val="32"/>
      <w:szCs w:val="32"/>
    </w:rPr>
  </w:style>
  <w:style w:type="character" w:customStyle="1" w:styleId="142">
    <w:name w:val="页脚 Char"/>
    <w:locked/>
    <w:uiPriority w:val="0"/>
    <w:rPr>
      <w:rFonts w:eastAsia="宋体"/>
      <w:kern w:val="2"/>
      <w:sz w:val="18"/>
      <w:lang w:val="en-US" w:eastAsia="zh-CN" w:bidi="ar-SA"/>
    </w:rPr>
  </w:style>
  <w:style w:type="paragraph" w:customStyle="1" w:styleId="143">
    <w:name w:val="et8"/>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4">
    <w:name w:val="et27"/>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5">
    <w:name w:val="et20"/>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6">
    <w:name w:val="et21"/>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7">
    <w:name w:val="et12"/>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8">
    <w:name w:val="et16"/>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9">
    <w:name w:val="et13"/>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0">
    <w:name w:val="et10"/>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1">
    <w:name w:val="et17"/>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2">
    <w:name w:val="et18"/>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3">
    <w:name w:val="et22"/>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4">
    <w:name w:val="普通 (Web)"/>
    <w:basedOn w:val="1"/>
    <w:uiPriority w:val="0"/>
    <w:pPr>
      <w:widowControl/>
      <w:spacing w:before="100" w:beforeAutospacing="1" w:after="100" w:afterAutospacing="1"/>
      <w:jc w:val="left"/>
    </w:pPr>
    <w:rPr>
      <w:color w:val="CCCCCC"/>
      <w:kern w:val="0"/>
      <w:sz w:val="18"/>
      <w:szCs w:val="18"/>
    </w:rPr>
  </w:style>
  <w:style w:type="paragraph" w:customStyle="1" w:styleId="155">
    <w:name w:val="et2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6">
    <w:name w:val="默认段落字体 Para Char"/>
    <w:basedOn w:val="1"/>
    <w:uiPriority w:val="0"/>
    <w:pPr>
      <w:tabs>
        <w:tab w:val="left" w:pos="360"/>
        <w:tab w:val="left" w:pos="1008"/>
      </w:tabs>
      <w:ind w:left="420" w:hanging="420"/>
    </w:pPr>
    <w:rPr>
      <w:sz w:val="24"/>
    </w:rPr>
  </w:style>
  <w:style w:type="paragraph" w:customStyle="1" w:styleId="157">
    <w:name w:val="et14"/>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8">
    <w:name w:val="et23"/>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9">
    <w:name w:val="et11"/>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0">
    <w:name w:val="et19"/>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1">
    <w:name w:val="et7"/>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2">
    <w:name w:val="et28"/>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3">
    <w:name w:val="et24"/>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4"/>
    </w:rPr>
  </w:style>
  <w:style w:type="paragraph" w:customStyle="1" w:styleId="164">
    <w:name w:val="et25"/>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5">
    <w:name w:val="et9"/>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6">
    <w:name w:val="et15"/>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7">
    <w:name w:val="et26"/>
    <w:basedOn w:val="1"/>
    <w:uiPriority w:val="0"/>
    <w:pPr>
      <w:widowControl/>
      <w:spacing w:before="100" w:beforeAutospacing="1" w:after="100" w:afterAutospacing="1"/>
      <w:jc w:val="left"/>
      <w:textAlignment w:val="center"/>
    </w:pPr>
    <w:rPr>
      <w:rFonts w:ascii="宋体" w:hAnsi="宋体" w:cs="宋体"/>
      <w:color w:val="000000"/>
      <w:kern w:val="0"/>
      <w:sz w:val="24"/>
    </w:rPr>
  </w:style>
  <w:style w:type="character" w:customStyle="1" w:styleId="168">
    <w:name w:val="页眉 Char"/>
    <w:uiPriority w:val="0"/>
    <w:rPr>
      <w:kern w:val="2"/>
      <w:sz w:val="18"/>
      <w:szCs w:val="18"/>
    </w:rPr>
  </w:style>
  <w:style w:type="character" w:customStyle="1" w:styleId="169">
    <w:name w:val="脚注文本 字符"/>
    <w:basedOn w:val="23"/>
    <w:semiHidden/>
    <w:uiPriority w:val="99"/>
    <w:rPr>
      <w:rFonts w:ascii="Times New Roman" w:hAnsi="Times New Roman" w:eastAsia="宋体"/>
      <w:kern w:val="2"/>
      <w:sz w:val="18"/>
      <w:szCs w:val="18"/>
    </w:rPr>
  </w:style>
  <w:style w:type="character" w:customStyle="1" w:styleId="170">
    <w:name w:val="脚注文本 Char"/>
    <w:link w:val="17"/>
    <w:uiPriority w:val="0"/>
    <w:rPr>
      <w:rFonts w:ascii="Times New Roman" w:hAnsi="Times New Roman" w:eastAsia="宋体"/>
      <w:kern w:val="2"/>
      <w:sz w:val="18"/>
      <w:szCs w:val="18"/>
    </w:rPr>
  </w:style>
  <w:style w:type="character" w:customStyle="1" w:styleId="171">
    <w:name w:val="正文文本缩进 Char"/>
    <w:uiPriority w:val="0"/>
    <w:rPr>
      <w:kern w:val="2"/>
      <w:sz w:val="21"/>
      <w:szCs w:val="24"/>
    </w:rPr>
  </w:style>
  <w:style w:type="character" w:customStyle="1" w:styleId="172">
    <w:name w:val="批注框文本 Char"/>
    <w:uiPriority w:val="0"/>
    <w:rPr>
      <w:kern w:val="2"/>
      <w:sz w:val="18"/>
      <w:szCs w:val="18"/>
    </w:rPr>
  </w:style>
  <w:style w:type="character" w:customStyle="1" w:styleId="173">
    <w:name w:val="批注主题 Char"/>
    <w:uiPriority w:val="0"/>
    <w:rPr>
      <w:b/>
      <w:bCs/>
      <w:szCs w:val="24"/>
    </w:rPr>
  </w:style>
  <w:style w:type="character" w:customStyle="1" w:styleId="174">
    <w:name w:val="批注文字 Char"/>
    <w:uiPriority w:val="0"/>
    <w:rPr>
      <w:kern w:val="2"/>
      <w:sz w:val="21"/>
      <w:szCs w:val="24"/>
    </w:rPr>
  </w:style>
  <w:style w:type="character" w:customStyle="1" w:styleId="175">
    <w:name w:val="HTML 预设格式 Char"/>
    <w:uiPriority w:val="99"/>
    <w:rPr>
      <w:rFonts w:ascii="宋体" w:hAnsi="宋体" w:cs="宋体"/>
      <w:sz w:val="24"/>
      <w:szCs w:val="24"/>
    </w:rPr>
  </w:style>
  <w:style w:type="character" w:customStyle="1" w:styleId="176">
    <w:name w:val="正文文本缩进 2 Char"/>
    <w:uiPriority w:val="0"/>
    <w:rPr>
      <w:sz w:val="24"/>
      <w:szCs w:val="24"/>
    </w:rPr>
  </w:style>
  <w:style w:type="character" w:customStyle="1" w:styleId="177">
    <w:name w:val="正文文本缩进 2 Char1"/>
    <w:uiPriority w:val="99"/>
    <w:rPr>
      <w:kern w:val="2"/>
      <w:sz w:val="21"/>
      <w:szCs w:val="24"/>
    </w:rPr>
  </w:style>
  <w:style w:type="character" w:customStyle="1" w:styleId="178">
    <w:name w:val="纯文本 Char"/>
    <w:uiPriority w:val="0"/>
    <w:rPr>
      <w:rFonts w:ascii="宋体" w:hAnsi="宋体" w:cs="Century"/>
      <w:color w:val="000000"/>
      <w:sz w:val="32"/>
    </w:rPr>
  </w:style>
  <w:style w:type="character" w:customStyle="1" w:styleId="179">
    <w:name w:val="正文文本 Char"/>
    <w:uiPriority w:val="0"/>
    <w:rPr>
      <w:szCs w:val="24"/>
    </w:rPr>
  </w:style>
  <w:style w:type="character" w:customStyle="1" w:styleId="180">
    <w:name w:val="正文文本 Char1"/>
    <w:uiPriority w:val="99"/>
    <w:rPr>
      <w:kern w:val="2"/>
      <w:sz w:val="21"/>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3031</Words>
  <Characters>17281</Characters>
  <Lines>144</Lines>
  <Paragraphs>40</Paragraphs>
  <TotalTime>169</TotalTime>
  <ScaleCrop>false</ScaleCrop>
  <LinksUpToDate>false</LinksUpToDate>
  <CharactersWithSpaces>20272</CharactersWithSpaces>
  <Application>WPS Office_11.1.0.9005_F1E327BC-269C-435d-A152-05C5408002CA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2019-08-18T10:46:00Z</dcterms:created>
  <dc:creator>微软用户</dc:creator>
  <lastModifiedBy>雷</lastModifiedBy>
  <lastPrinted>2019-08-18T10:46:00Z</lastPrinted>
  <dcterms:modified xsi:type="dcterms:W3CDTF">2019-08-23T21:37:01Z</dcterms:modified>
  <revision>63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