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阜阳幼儿师范高等专科学校</w:t>
      </w:r>
    </w:p>
    <w:p>
      <w:pPr>
        <w:jc w:val="center"/>
        <w:rPr>
          <w:rFonts w:ascii="黑体" w:hAnsi="黑体" w:eastAsia="黑体" w:cs="黑体"/>
          <w:bCs/>
          <w:sz w:val="36"/>
          <w:szCs w:val="36"/>
        </w:rPr>
      </w:pPr>
      <w:r>
        <w:rPr>
          <w:rFonts w:hint="eastAsia" w:ascii="黑体" w:hAnsi="黑体" w:eastAsia="黑体" w:cs="黑体"/>
          <w:bCs/>
          <w:sz w:val="36"/>
          <w:szCs w:val="36"/>
        </w:rPr>
        <w:t>三年制音乐教育专业人才培养方案</w:t>
      </w:r>
    </w:p>
    <w:p>
      <w:pPr>
        <w:ind w:firstLine="480" w:firstLineChars="200"/>
        <w:rPr>
          <w:rFonts w:ascii="黑体" w:hAnsi="黑体" w:eastAsia="黑体" w:cs="黑体"/>
          <w:sz w:val="24"/>
          <w:szCs w:val="24"/>
        </w:rPr>
      </w:pPr>
      <w:r>
        <w:rPr>
          <w:rFonts w:hint="eastAsia" w:ascii="黑体" w:hAnsi="黑体" w:eastAsia="黑体" w:cs="黑体"/>
          <w:sz w:val="24"/>
          <w:szCs w:val="24"/>
        </w:rPr>
        <w:t xml:space="preserve">一、专业名称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 （一）专业名称：音乐教育</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（二）专业代码：670112K </w:t>
      </w:r>
    </w:p>
    <w:p>
      <w:pPr>
        <w:ind w:firstLine="480" w:firstLineChars="200"/>
        <w:rPr>
          <w:rFonts w:ascii="黑体" w:hAnsi="黑体" w:eastAsia="黑体" w:cs="黑体"/>
          <w:sz w:val="24"/>
          <w:szCs w:val="24"/>
        </w:rPr>
      </w:pPr>
      <w:r>
        <w:rPr>
          <w:rFonts w:hint="eastAsia" w:ascii="黑体" w:hAnsi="黑体" w:eastAsia="黑体" w:cs="黑体"/>
          <w:sz w:val="24"/>
          <w:szCs w:val="24"/>
        </w:rPr>
        <w:t>二、入学要求</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bookmarkStart w:id="1" w:name="_GoBack"/>
      <w:bookmarkEnd w:id="1"/>
      <w:r>
        <w:rPr>
          <w:rFonts w:hint="eastAsia" w:ascii="仿宋_GB2312" w:hAnsi="仿宋_GB2312" w:eastAsia="仿宋_GB2312" w:cs="仿宋_GB2312"/>
          <w:szCs w:val="21"/>
        </w:rPr>
        <w:t>高中毕业或具有同等学力者</w:t>
      </w:r>
    </w:p>
    <w:p>
      <w:pPr>
        <w:ind w:firstLine="480" w:firstLineChars="200"/>
        <w:rPr>
          <w:rFonts w:ascii="黑体" w:hAnsi="黑体" w:eastAsia="黑体" w:cs="黑体"/>
          <w:sz w:val="24"/>
          <w:szCs w:val="24"/>
        </w:rPr>
      </w:pPr>
      <w:r>
        <w:rPr>
          <w:rFonts w:hint="eastAsia" w:ascii="黑体" w:hAnsi="黑体" w:eastAsia="黑体" w:cs="黑体"/>
          <w:sz w:val="24"/>
          <w:szCs w:val="24"/>
        </w:rPr>
        <w:t>三、学制与修业年限</w:t>
      </w:r>
    </w:p>
    <w:p>
      <w:pPr>
        <w:ind w:firstLine="840" w:firstLineChars="4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学制3年，修业年限2—5年</w:t>
      </w:r>
      <w:r>
        <w:rPr>
          <w:rFonts w:hint="eastAsia" w:ascii="仿宋_GB2312" w:hAnsi="仿宋_GB2312" w:eastAsia="仿宋_GB2312" w:cs="仿宋_GB2312"/>
          <w:szCs w:val="21"/>
          <w:lang w:val="en-US" w:eastAsia="zh-CN"/>
        </w:rPr>
        <w:t xml:space="preserve">  </w:t>
      </w:r>
    </w:p>
    <w:p>
      <w:pPr>
        <w:ind w:firstLine="480" w:firstLineChars="200"/>
        <w:rPr>
          <w:rFonts w:hint="eastAsia" w:ascii="仿宋" w:hAnsi="仿宋" w:eastAsia="仿宋"/>
          <w:sz w:val="32"/>
          <w:szCs w:val="32"/>
        </w:rPr>
      </w:pPr>
      <w:r>
        <w:rPr>
          <w:rFonts w:hint="eastAsia" w:ascii="黑体" w:hAnsi="黑体" w:eastAsia="黑体" w:cs="黑体"/>
          <w:sz w:val="24"/>
          <w:szCs w:val="24"/>
        </w:rPr>
        <w:t>四、职业面向：</w:t>
      </w:r>
    </w:p>
    <w:p>
      <w:pPr>
        <w:ind w:firstLine="945" w:firstLineChars="450"/>
        <w:rPr>
          <w:rFonts w:hint="eastAsia" w:ascii="仿宋" w:hAnsi="仿宋" w:eastAsia="仿宋"/>
          <w:sz w:val="32"/>
          <w:szCs w:val="32"/>
        </w:rPr>
      </w:pPr>
      <w:r>
        <w:rPr>
          <w:rFonts w:hint="eastAsia" w:ascii="仿宋" w:hAnsi="仿宋" w:eastAsia="仿宋" w:cs="宋体"/>
          <w:szCs w:val="21"/>
        </w:rPr>
        <w:t>主要面向</w:t>
      </w:r>
      <w:r>
        <w:rPr>
          <w:rFonts w:hint="eastAsia" w:ascii="仿宋_GB2312" w:hAnsi="仿宋_GB2312" w:eastAsia="仿宋_GB2312" w:cs="仿宋_GB2312"/>
          <w:szCs w:val="21"/>
        </w:rPr>
        <w:t>小学音乐教师</w:t>
      </w:r>
    </w:p>
    <w:p>
      <w:pPr>
        <w:pStyle w:val="98"/>
        <w:numPr>
          <w:ilvl w:val="0"/>
          <w:numId w:val="1"/>
        </w:numPr>
        <w:spacing w:line="440" w:lineRule="exact"/>
        <w:ind w:firstLineChars="0"/>
        <w:rPr>
          <w:rFonts w:hint="eastAsia" w:ascii="仿宋" w:hAnsi="仿宋" w:eastAsia="仿宋" w:cs="宋体"/>
          <w:b/>
          <w:bCs/>
          <w:szCs w:val="21"/>
        </w:rPr>
      </w:pPr>
      <w:bookmarkStart w:id="0" w:name="_Hlk16105403"/>
      <w:r>
        <w:rPr>
          <w:rFonts w:hint="eastAsia" w:ascii="仿宋" w:hAnsi="仿宋" w:eastAsia="仿宋" w:cs="宋体"/>
          <w:b/>
          <w:bCs/>
          <w:szCs w:val="21"/>
        </w:rPr>
        <w:t>职业面向与职业资格证书</w:t>
      </w:r>
    </w:p>
    <w:p>
      <w:pPr>
        <w:ind w:left="826"/>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（二）基层教育教学管理、乡镇文化馆站或艺术培训机构音乐教育工作者。 </w:t>
      </w:r>
    </w:p>
    <w:tbl>
      <w:tblPr>
        <w:tblStyle w:val="16"/>
        <w:tblpPr w:leftFromText="180" w:rightFromText="180" w:vertAnchor="text" w:horzAnchor="margin" w:tblpXSpec="center" w:tblpY="67"/>
        <w:tblW w:w="87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030"/>
        <w:gridCol w:w="1236"/>
        <w:gridCol w:w="1133"/>
        <w:gridCol w:w="1966"/>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exact"/>
        </w:trPr>
        <w:tc>
          <w:tcPr>
            <w:tcW w:w="1101"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所属专业大类（代码）</w:t>
            </w:r>
          </w:p>
        </w:tc>
        <w:tc>
          <w:tcPr>
            <w:tcW w:w="1030"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所属专业类</w:t>
            </w:r>
          </w:p>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（代码）</w:t>
            </w:r>
          </w:p>
        </w:tc>
        <w:tc>
          <w:tcPr>
            <w:tcW w:w="1236"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对应</w:t>
            </w:r>
          </w:p>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行业</w:t>
            </w:r>
          </w:p>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（代码）</w:t>
            </w:r>
          </w:p>
        </w:tc>
        <w:tc>
          <w:tcPr>
            <w:tcW w:w="1133"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主要职业类别</w:t>
            </w:r>
          </w:p>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（代码）</w:t>
            </w:r>
          </w:p>
        </w:tc>
        <w:tc>
          <w:tcPr>
            <w:tcW w:w="1966"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主要岗位群或技术领域举例</w:t>
            </w:r>
          </w:p>
        </w:tc>
        <w:tc>
          <w:tcPr>
            <w:tcW w:w="2295" w:type="dxa"/>
            <w:vAlign w:val="center"/>
          </w:tcPr>
          <w:p>
            <w:pPr>
              <w:jc w:val="center"/>
              <w:rPr>
                <w:rFonts w:hint="eastAsia" w:ascii="仿宋_GB2312" w:hAnsi="宋体" w:eastAsia="仿宋_GB2312" w:cs="宋体"/>
                <w:bCs/>
                <w:kern w:val="0"/>
                <w:sz w:val="18"/>
                <w:szCs w:val="18"/>
              </w:rPr>
            </w:pPr>
            <w:r>
              <w:rPr>
                <w:rFonts w:hint="eastAsia" w:ascii="仿宋_GB2312" w:hAnsi="宋体" w:eastAsia="仿宋_GB2312" w:cs="宋体"/>
                <w:bCs/>
                <w:kern w:val="0"/>
                <w:sz w:val="18"/>
                <w:szCs w:val="18"/>
              </w:rPr>
              <w:t>职业资格证书或职业技能等级证书举例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0" w:hRule="atLeast"/>
        </w:trPr>
        <w:tc>
          <w:tcPr>
            <w:tcW w:w="1101" w:type="dxa"/>
            <w:vAlign w:val="center"/>
          </w:tcPr>
          <w:p>
            <w:pPr>
              <w:widowControl/>
              <w:autoSpaceDE w:val="0"/>
              <w:autoSpaceDN w:val="0"/>
              <w:adjustRightIn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教育与体育大类（67）</w:t>
            </w:r>
          </w:p>
        </w:tc>
        <w:tc>
          <w:tcPr>
            <w:tcW w:w="1030" w:type="dxa"/>
            <w:vAlign w:val="center"/>
          </w:tcPr>
          <w:p>
            <w:pPr>
              <w:widowControl/>
              <w:autoSpaceDE w:val="0"/>
              <w:autoSpaceDN w:val="0"/>
              <w:adjustRightInd w:val="0"/>
              <w:rPr>
                <w:rFonts w:ascii="仿宋_GB2312" w:hAnsi="宋体" w:eastAsia="仿宋_GB2312" w:cs="宋体"/>
                <w:kern w:val="0"/>
                <w:sz w:val="18"/>
                <w:szCs w:val="18"/>
              </w:rPr>
            </w:pPr>
            <w:r>
              <w:rPr>
                <w:rFonts w:hint="eastAsia" w:ascii="仿宋_GB2312" w:hAnsi="宋体" w:eastAsia="仿宋_GB2312" w:cs="宋体"/>
                <w:kern w:val="0"/>
                <w:sz w:val="18"/>
                <w:szCs w:val="18"/>
              </w:rPr>
              <w:t>教育类（6701）</w:t>
            </w:r>
          </w:p>
        </w:tc>
        <w:tc>
          <w:tcPr>
            <w:tcW w:w="1236" w:type="dxa"/>
            <w:vAlign w:val="center"/>
          </w:tcPr>
          <w:p>
            <w:pPr>
              <w:widowControl/>
              <w:autoSpaceDE w:val="0"/>
              <w:autoSpaceDN w:val="0"/>
              <w:adjustRightInd w:val="0"/>
              <w:rPr>
                <w:rFonts w:ascii="仿宋_GB2312" w:hAnsi="宋体" w:eastAsia="仿宋_GB2312" w:cs="宋体"/>
                <w:kern w:val="0"/>
                <w:sz w:val="18"/>
                <w:szCs w:val="18"/>
              </w:rPr>
            </w:pPr>
            <w:r>
              <w:rPr>
                <w:rFonts w:hint="eastAsia" w:ascii="仿宋_GB2312" w:hAnsi="宋体" w:eastAsia="仿宋_GB2312" w:cs="宋体"/>
                <w:kern w:val="0"/>
                <w:sz w:val="18"/>
                <w:szCs w:val="18"/>
              </w:rPr>
              <w:t>教育(</w:t>
            </w:r>
            <w:r>
              <w:rPr>
                <w:rFonts w:ascii="仿宋_GB2312" w:hAnsi="宋体" w:eastAsia="仿宋_GB2312" w:cs="宋体"/>
                <w:kern w:val="0"/>
                <w:sz w:val="18"/>
                <w:szCs w:val="18"/>
              </w:rPr>
              <w:t>83</w:t>
            </w:r>
            <w:r>
              <w:rPr>
                <w:rFonts w:hint="eastAsia" w:ascii="仿宋_GB2312" w:hAnsi="宋体" w:eastAsia="仿宋_GB2312" w:cs="宋体"/>
                <w:kern w:val="0"/>
                <w:sz w:val="18"/>
                <w:szCs w:val="18"/>
              </w:rPr>
              <w:t>)</w:t>
            </w:r>
          </w:p>
        </w:tc>
        <w:tc>
          <w:tcPr>
            <w:tcW w:w="1133" w:type="dxa"/>
            <w:vAlign w:val="center"/>
          </w:tcPr>
          <w:p>
            <w:pPr>
              <w:widowControl/>
              <w:autoSpaceDE w:val="0"/>
              <w:autoSpaceDN w:val="0"/>
              <w:adjustRightInd w:val="0"/>
              <w:rPr>
                <w:rFonts w:ascii="仿宋_GB2312" w:hAnsi="宋体" w:eastAsia="仿宋_GB2312" w:cs="宋体"/>
                <w:kern w:val="0"/>
                <w:sz w:val="18"/>
                <w:szCs w:val="18"/>
              </w:rPr>
            </w:pPr>
            <w:r>
              <w:rPr>
                <w:rFonts w:hint="eastAsia" w:ascii="仿宋_GB2312" w:hAnsi="宋体" w:eastAsia="仿宋_GB2312" w:cs="宋体"/>
                <w:kern w:val="0"/>
                <w:sz w:val="18"/>
                <w:szCs w:val="18"/>
              </w:rPr>
              <w:t>小学音乐教育教师</w:t>
            </w:r>
          </w:p>
        </w:tc>
        <w:tc>
          <w:tcPr>
            <w:tcW w:w="1966" w:type="dxa"/>
            <w:vAlign w:val="center"/>
          </w:tcPr>
          <w:p>
            <w:pPr>
              <w:widowControl/>
              <w:autoSpaceDE w:val="0"/>
              <w:autoSpaceDN w:val="0"/>
              <w:adjustRightIn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小学音乐教师</w:t>
            </w:r>
          </w:p>
        </w:tc>
        <w:tc>
          <w:tcPr>
            <w:tcW w:w="2295" w:type="dxa"/>
            <w:vAlign w:val="center"/>
          </w:tcPr>
          <w:p>
            <w:pPr>
              <w:widowControl/>
              <w:autoSpaceDE w:val="0"/>
              <w:autoSpaceDN w:val="0"/>
              <w:adjustRightInd w:val="0"/>
              <w:rPr>
                <w:rFonts w:ascii="仿宋_GB2312" w:hAnsi="宋体" w:eastAsia="仿宋_GB2312" w:cs="宋体"/>
                <w:kern w:val="0"/>
                <w:sz w:val="18"/>
                <w:szCs w:val="18"/>
              </w:rPr>
            </w:pPr>
            <w:r>
              <w:rPr>
                <w:rFonts w:hint="eastAsia" w:ascii="仿宋_GB2312" w:hAnsi="宋体" w:eastAsia="仿宋_GB2312" w:cs="宋体"/>
                <w:kern w:val="0"/>
                <w:sz w:val="18"/>
                <w:szCs w:val="18"/>
              </w:rPr>
              <w:t>小学音乐教师资格证书</w:t>
            </w:r>
          </w:p>
          <w:p>
            <w:pPr>
              <w:widowControl/>
              <w:autoSpaceDE w:val="0"/>
              <w:autoSpaceDN w:val="0"/>
              <w:adjustRightInd w:val="0"/>
              <w:rPr>
                <w:rFonts w:ascii="仿宋_GB2312" w:hAnsi="宋体" w:eastAsia="仿宋_GB2312" w:cs="宋体"/>
                <w:kern w:val="0"/>
                <w:sz w:val="18"/>
                <w:szCs w:val="18"/>
              </w:rPr>
            </w:pPr>
          </w:p>
        </w:tc>
      </w:tr>
      <w:bookmarkEnd w:id="0"/>
    </w:tbl>
    <w:p>
      <w:pPr>
        <w:rPr>
          <w:rFonts w:ascii="仿宋_GB2312" w:hAnsi="仿宋_GB2312" w:eastAsia="仿宋_GB2312" w:cs="仿宋_GB2312"/>
          <w:szCs w:val="21"/>
        </w:rPr>
      </w:pPr>
    </w:p>
    <w:p>
      <w:pPr>
        <w:ind w:firstLine="480" w:firstLineChars="200"/>
        <w:rPr>
          <w:rFonts w:ascii="黑体" w:hAnsi="黑体" w:eastAsia="黑体" w:cs="黑体"/>
          <w:sz w:val="24"/>
          <w:szCs w:val="24"/>
        </w:rPr>
      </w:pPr>
      <w:r>
        <w:rPr>
          <w:rFonts w:hint="eastAsia" w:ascii="黑体" w:hAnsi="黑体" w:eastAsia="黑体" w:cs="黑体"/>
          <w:sz w:val="24"/>
          <w:szCs w:val="24"/>
        </w:rPr>
        <w:t>五、指导思想</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pPr>
        <w:ind w:firstLine="480" w:firstLineChars="200"/>
        <w:rPr>
          <w:rFonts w:ascii="黑体" w:hAnsi="黑体" w:eastAsia="黑体" w:cs="黑体"/>
          <w:sz w:val="24"/>
          <w:szCs w:val="24"/>
        </w:rPr>
      </w:pPr>
      <w:r>
        <w:rPr>
          <w:rFonts w:hint="eastAsia" w:ascii="黑体" w:hAnsi="黑体" w:eastAsia="黑体" w:cs="黑体"/>
          <w:sz w:val="24"/>
          <w:szCs w:val="24"/>
        </w:rPr>
        <w:t xml:space="preserve">六、培养目标与规格：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（一）培养目标</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   本专业面向小学音乐教育一线，培养德、智、体、美全面发展，具有音乐教育专业所必备的基本素质、基础理论知识和基本技能，具有较强的音乐教育教学能力、创新能力和竞争能力，以适应小学教育改革发展需要的音乐教育教学与管理、城镇文化建设，实践能力强、具有良好职业道德的高素质技能型专业人才。</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培养规格：</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本专业所培养的人才应具有以下知识、能力与素质：</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知识要求</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（1）综合知识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具有广泛的的文化艺术素养。拥有较为丰富的文化底蕴、高尚的人文情怀和科学的知识、态度与精神，善于把这些知识、情感、态度和价值观贯穿于儿童学习过程中，在帮助儿童发展的过程中实现自身的专业发展。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（2）教育理论知识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具有较丰富的教师教育基本理论知识，理解国内外前沿教育理念，能够遵循教育规律，面向全体学生，尊重儿童个性，能够因材施教，注重学思结合、知行统一，促进儿童发展。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（3）专业相关知识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具有比较扎实的音乐理论基础知识、钢琴演奏、舞蹈表演和即兴伴奏技能，科学的发声和声乐演唱技能，掌握现代音乐教育理论。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  2.能力要求：</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（1）具备理解、观察、分析儿童身心发展特点的能力。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（2）具备较强的教育教学能力、沟通协调能力、教学监控评价能力及初步研究能力和教育反思能力。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（3）具备一定的音乐的理解力、鉴赏力、表现力和创造力。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（4）具备运用现代化教育技术开发和利用小学音乐教育资源的能力。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3.素质要求：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（1）思想道德素质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①践行社会主义核心价值观，具有德、智、体、美、劳全面发展和良好的社会公德和职业道德；具有高度责任感、团队合作精神和诚实守信、吃苦耐劳的品德。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②具有健康的体魄、健全的人格，具有积极向上的生活态度和文明行为习惯。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（2）职业素质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热爱生命、热爱儿童、热爱基础教育事业，永葆童心；以学生为本，尊重、理解、悦纳每个学生，具有学会反思、学会合作、学会支持的素养，创造与儿童生命相适应的教育，成为儿童学习活动的组织者、引导者与合作者，引领儿童发展。 </w:t>
      </w:r>
    </w:p>
    <w:p>
      <w:pPr>
        <w:ind w:firstLine="480" w:firstLineChars="200"/>
        <w:rPr>
          <w:rFonts w:ascii="黑体" w:hAnsi="黑体" w:eastAsia="黑体" w:cs="黑体"/>
          <w:sz w:val="24"/>
          <w:szCs w:val="24"/>
        </w:rPr>
      </w:pPr>
      <w:r>
        <w:rPr>
          <w:rFonts w:hint="eastAsia" w:ascii="黑体" w:hAnsi="黑体" w:eastAsia="黑体" w:cs="黑体"/>
          <w:sz w:val="24"/>
          <w:szCs w:val="24"/>
        </w:rPr>
        <w:t>七、课程设置及要求</w:t>
      </w:r>
    </w:p>
    <w:p>
      <w:pPr>
        <w:ind w:firstLine="422" w:firstLineChars="200"/>
        <w:rPr>
          <w:rFonts w:ascii="仿宋" w:hAnsi="仿宋" w:eastAsia="仿宋" w:cs="仿宋"/>
          <w:b/>
          <w:szCs w:val="21"/>
        </w:rPr>
      </w:pPr>
      <w:r>
        <w:rPr>
          <w:rFonts w:hint="eastAsia" w:ascii="仿宋" w:hAnsi="仿宋" w:eastAsia="仿宋" w:cs="仿宋"/>
          <w:b/>
          <w:szCs w:val="21"/>
        </w:rPr>
        <w:t>主要包括公共基础课程和专业（技能）课程、专业拓展课程。</w:t>
      </w:r>
    </w:p>
    <w:p>
      <w:pPr>
        <w:ind w:firstLine="422" w:firstLineChars="200"/>
        <w:rPr>
          <w:rFonts w:ascii="仿宋" w:hAnsi="仿宋" w:eastAsia="仿宋" w:cs="仿宋"/>
          <w:b/>
          <w:szCs w:val="21"/>
        </w:rPr>
      </w:pPr>
      <w:r>
        <w:rPr>
          <w:rFonts w:hint="eastAsia" w:ascii="仿宋" w:hAnsi="仿宋" w:eastAsia="仿宋" w:cs="仿宋"/>
          <w:b/>
          <w:szCs w:val="21"/>
        </w:rPr>
        <w:t>（一）公共基础课程</w:t>
      </w:r>
    </w:p>
    <w:p>
      <w:pPr>
        <w:ind w:firstLine="422" w:firstLineChars="200"/>
        <w:rPr>
          <w:rFonts w:ascii="仿宋" w:hAnsi="仿宋" w:eastAsia="仿宋" w:cs="仿宋"/>
          <w:b/>
          <w:szCs w:val="21"/>
        </w:rPr>
      </w:pPr>
      <w:r>
        <w:rPr>
          <w:rFonts w:hint="eastAsia" w:ascii="仿宋" w:hAnsi="仿宋" w:eastAsia="仿宋" w:cs="仿宋"/>
          <w:b/>
          <w:szCs w:val="21"/>
        </w:rPr>
        <w:t>应准确描述各门课程的课程目标、主要内容和教学要求，落实国家有关规定和要求。如：</w:t>
      </w:r>
    </w:p>
    <w:tbl>
      <w:tblPr>
        <w:tblStyle w:val="1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635"/>
        <w:gridCol w:w="749"/>
        <w:gridCol w:w="2822"/>
        <w:gridCol w:w="2380"/>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03" w:type="dxa"/>
            <w:vAlign w:val="center"/>
          </w:tcPr>
          <w:p>
            <w:pPr>
              <w:jc w:val="center"/>
              <w:rPr>
                <w:rFonts w:ascii="仿宋" w:hAnsi="仿宋" w:eastAsia="仿宋" w:cs="仿宋"/>
                <w:sz w:val="18"/>
                <w:szCs w:val="18"/>
              </w:rPr>
            </w:pPr>
            <w:r>
              <w:rPr>
                <w:rFonts w:hint="eastAsia" w:ascii="仿宋" w:hAnsi="仿宋" w:eastAsia="仿宋" w:cs="仿宋"/>
                <w:sz w:val="18"/>
                <w:szCs w:val="18"/>
              </w:rPr>
              <w:t>序号</w:t>
            </w:r>
          </w:p>
        </w:tc>
        <w:tc>
          <w:tcPr>
            <w:tcW w:w="635" w:type="dxa"/>
          </w:tcPr>
          <w:p>
            <w:pPr>
              <w:jc w:val="center"/>
              <w:rPr>
                <w:rFonts w:ascii="仿宋" w:hAnsi="仿宋" w:eastAsia="仿宋" w:cs="仿宋"/>
                <w:sz w:val="18"/>
                <w:szCs w:val="18"/>
              </w:rPr>
            </w:pPr>
            <w:r>
              <w:rPr>
                <w:rFonts w:hint="eastAsia" w:ascii="仿宋" w:hAnsi="仿宋" w:eastAsia="仿宋" w:cs="仿宋"/>
                <w:sz w:val="18"/>
                <w:szCs w:val="18"/>
              </w:rPr>
              <w:t>课程模块</w:t>
            </w:r>
          </w:p>
        </w:tc>
        <w:tc>
          <w:tcPr>
            <w:tcW w:w="749" w:type="dxa"/>
            <w:vAlign w:val="center"/>
          </w:tcPr>
          <w:p>
            <w:pPr>
              <w:jc w:val="center"/>
              <w:rPr>
                <w:rFonts w:ascii="仿宋" w:hAnsi="仿宋" w:eastAsia="仿宋" w:cs="仿宋"/>
                <w:sz w:val="18"/>
                <w:szCs w:val="18"/>
              </w:rPr>
            </w:pPr>
            <w:r>
              <w:rPr>
                <w:rFonts w:hint="eastAsia" w:ascii="仿宋" w:hAnsi="仿宋" w:eastAsia="仿宋" w:cs="仿宋"/>
                <w:sz w:val="18"/>
                <w:szCs w:val="18"/>
              </w:rPr>
              <w:t>课程</w:t>
            </w:r>
          </w:p>
          <w:p>
            <w:pPr>
              <w:jc w:val="center"/>
              <w:rPr>
                <w:rFonts w:ascii="仿宋" w:hAnsi="仿宋" w:eastAsia="仿宋" w:cs="仿宋"/>
                <w:sz w:val="18"/>
                <w:szCs w:val="18"/>
              </w:rPr>
            </w:pPr>
            <w:r>
              <w:rPr>
                <w:rFonts w:hint="eastAsia" w:ascii="仿宋" w:hAnsi="仿宋" w:eastAsia="仿宋" w:cs="仿宋"/>
                <w:sz w:val="18"/>
                <w:szCs w:val="18"/>
              </w:rPr>
              <w:t>名称</w:t>
            </w:r>
          </w:p>
        </w:tc>
        <w:tc>
          <w:tcPr>
            <w:tcW w:w="2822" w:type="dxa"/>
            <w:vAlign w:val="center"/>
          </w:tcPr>
          <w:p>
            <w:pPr>
              <w:jc w:val="center"/>
              <w:rPr>
                <w:rFonts w:ascii="仿宋" w:hAnsi="仿宋" w:eastAsia="仿宋" w:cs="仿宋"/>
                <w:sz w:val="18"/>
                <w:szCs w:val="18"/>
              </w:rPr>
            </w:pPr>
            <w:r>
              <w:rPr>
                <w:rFonts w:hint="eastAsia" w:ascii="仿宋" w:hAnsi="仿宋" w:eastAsia="仿宋" w:cs="仿宋"/>
                <w:sz w:val="18"/>
                <w:szCs w:val="18"/>
              </w:rPr>
              <w:t>课程目标</w:t>
            </w:r>
          </w:p>
        </w:tc>
        <w:tc>
          <w:tcPr>
            <w:tcW w:w="2380" w:type="dxa"/>
            <w:vAlign w:val="center"/>
          </w:tcPr>
          <w:p>
            <w:pPr>
              <w:jc w:val="center"/>
              <w:rPr>
                <w:rFonts w:ascii="仿宋" w:hAnsi="仿宋" w:eastAsia="仿宋" w:cs="仿宋"/>
                <w:sz w:val="18"/>
                <w:szCs w:val="18"/>
              </w:rPr>
            </w:pPr>
            <w:r>
              <w:rPr>
                <w:rFonts w:hint="eastAsia" w:ascii="仿宋" w:hAnsi="仿宋" w:eastAsia="仿宋" w:cs="仿宋"/>
                <w:sz w:val="18"/>
                <w:szCs w:val="18"/>
              </w:rPr>
              <w:t>主要内容</w:t>
            </w:r>
          </w:p>
        </w:tc>
        <w:tc>
          <w:tcPr>
            <w:tcW w:w="2165" w:type="dxa"/>
            <w:vAlign w:val="center"/>
          </w:tcPr>
          <w:p>
            <w:pPr>
              <w:jc w:val="center"/>
              <w:rPr>
                <w:rFonts w:ascii="仿宋" w:hAnsi="仿宋" w:eastAsia="仿宋" w:cs="仿宋"/>
                <w:sz w:val="18"/>
                <w:szCs w:val="18"/>
              </w:rPr>
            </w:pPr>
            <w:r>
              <w:rPr>
                <w:rFonts w:hint="eastAsia" w:ascii="仿宋" w:hAnsi="仿宋" w:eastAsia="仿宋" w:cs="仿宋"/>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widowControl/>
              <w:jc w:val="center"/>
              <w:rPr>
                <w:rFonts w:ascii="仿宋" w:hAnsi="仿宋" w:eastAsia="仿宋" w:cs="仿宋"/>
                <w:sz w:val="18"/>
                <w:szCs w:val="18"/>
              </w:rPr>
            </w:pPr>
            <w:r>
              <w:rPr>
                <w:rFonts w:hint="eastAsia" w:ascii="仿宋" w:hAnsi="仿宋" w:eastAsia="仿宋" w:cs="仿宋"/>
                <w:sz w:val="18"/>
                <w:szCs w:val="18"/>
              </w:rPr>
              <w:t>A031101</w:t>
            </w:r>
          </w:p>
        </w:tc>
        <w:tc>
          <w:tcPr>
            <w:tcW w:w="635" w:type="dxa"/>
            <w:vMerge w:val="restart"/>
            <w:vAlign w:val="center"/>
          </w:tcPr>
          <w:p>
            <w:pPr>
              <w:jc w:val="center"/>
              <w:rPr>
                <w:rFonts w:ascii="仿宋" w:hAnsi="仿宋" w:eastAsia="仿宋" w:cs="仿宋"/>
                <w:color w:val="000000"/>
                <w:sz w:val="18"/>
                <w:szCs w:val="18"/>
              </w:rPr>
            </w:pPr>
            <w:r>
              <w:rPr>
                <w:rFonts w:hint="eastAsia" w:ascii="仿宋" w:hAnsi="仿宋" w:eastAsia="仿宋" w:cs="仿宋"/>
                <w:color w:val="000000"/>
                <w:sz w:val="18"/>
                <w:szCs w:val="18"/>
              </w:rPr>
              <w:t>公共必修</w:t>
            </w:r>
          </w:p>
          <w:p>
            <w:pPr>
              <w:jc w:val="center"/>
              <w:rPr>
                <w:rFonts w:ascii="仿宋" w:hAnsi="仿宋" w:eastAsia="仿宋" w:cs="仿宋"/>
                <w:sz w:val="18"/>
                <w:szCs w:val="18"/>
              </w:rPr>
            </w:pPr>
          </w:p>
        </w:tc>
        <w:tc>
          <w:tcPr>
            <w:tcW w:w="749" w:type="dxa"/>
            <w:vAlign w:val="center"/>
          </w:tcPr>
          <w:p>
            <w:pPr>
              <w:rPr>
                <w:rFonts w:ascii="仿宋" w:hAnsi="仿宋" w:eastAsia="仿宋" w:cs="仿宋"/>
                <w:color w:val="000000"/>
                <w:w w:val="66"/>
                <w:sz w:val="18"/>
                <w:szCs w:val="18"/>
              </w:rPr>
            </w:pPr>
            <w:r>
              <w:rPr>
                <w:rFonts w:hint="eastAsia" w:ascii="仿宋" w:hAnsi="仿宋" w:eastAsia="仿宋" w:cs="仿宋"/>
                <w:color w:val="000000"/>
                <w:sz w:val="18"/>
                <w:szCs w:val="18"/>
              </w:rPr>
              <w:t>思想道德修养与法律(含师德）</w:t>
            </w:r>
          </w:p>
        </w:tc>
        <w:tc>
          <w:tcPr>
            <w:tcW w:w="2822" w:type="dxa"/>
          </w:tcPr>
          <w:p>
            <w:pPr>
              <w:rPr>
                <w:rFonts w:ascii="仿宋" w:hAnsi="仿宋" w:eastAsia="仿宋" w:cs="仿宋"/>
                <w:color w:val="000000"/>
                <w:sz w:val="18"/>
                <w:szCs w:val="18"/>
              </w:rPr>
            </w:pPr>
            <w:r>
              <w:rPr>
                <w:rFonts w:hint="eastAsia" w:ascii="仿宋" w:hAnsi="仿宋" w:eastAsia="仿宋" w:cs="仿宋"/>
                <w:color w:val="000000"/>
                <w:sz w:val="18"/>
                <w:szCs w:val="18"/>
              </w:rPr>
              <w:t>该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行使法律权利、履行法律义务，做到尊法学法守法用法，从而具备优秀的思想道德素质和法治素养。</w:t>
            </w:r>
          </w:p>
          <w:p>
            <w:pPr>
              <w:rPr>
                <w:rFonts w:ascii="仿宋" w:hAnsi="仿宋" w:eastAsia="仿宋" w:cs="仿宋"/>
                <w:color w:val="000000"/>
                <w:sz w:val="18"/>
                <w:szCs w:val="18"/>
              </w:rPr>
            </w:pPr>
          </w:p>
        </w:tc>
        <w:tc>
          <w:tcPr>
            <w:tcW w:w="2380" w:type="dxa"/>
          </w:tcPr>
          <w:p>
            <w:pPr>
              <w:rPr>
                <w:rFonts w:ascii="仿宋" w:hAnsi="仿宋" w:eastAsia="仿宋" w:cs="仿宋"/>
                <w:sz w:val="18"/>
                <w:szCs w:val="18"/>
              </w:rPr>
            </w:pPr>
            <w:r>
              <w:rPr>
                <w:rFonts w:hint="eastAsia" w:ascii="仿宋" w:hAnsi="仿宋" w:eastAsia="仿宋" w:cs="仿宋"/>
                <w:color w:val="000000"/>
                <w:sz w:val="18"/>
                <w:szCs w:val="18"/>
              </w:rPr>
              <w:t>教材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165" w:type="dxa"/>
          </w:tcPr>
          <w:p>
            <w:pPr>
              <w:rPr>
                <w:rFonts w:ascii="仿宋" w:hAnsi="仿宋" w:eastAsia="仿宋" w:cs="仿宋"/>
                <w:sz w:val="18"/>
                <w:szCs w:val="18"/>
              </w:rPr>
            </w:pPr>
            <w:r>
              <w:rPr>
                <w:rFonts w:hint="eastAsia" w:ascii="仿宋" w:hAnsi="仿宋" w:eastAsia="仿宋" w:cs="仿宋"/>
                <w:color w:val="000000"/>
                <w:sz w:val="18"/>
                <w:szCs w:val="18"/>
              </w:rPr>
              <w:t>严格落实《新时代高校思想政治理论课教学工作基本要求》，以课堂教学为主，网络教学为辅，中班、小班授课，创新备课形式，综合运用多种教学方法手段，理论学习和实践体验相结合。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 w:val="18"/>
                <w:szCs w:val="18"/>
              </w:rPr>
            </w:pPr>
            <w:r>
              <w:rPr>
                <w:rFonts w:hint="eastAsia" w:ascii="仿宋" w:hAnsi="仿宋" w:eastAsia="仿宋" w:cs="仿宋"/>
                <w:sz w:val="18"/>
                <w:szCs w:val="18"/>
              </w:rPr>
              <w:t>A031102</w:t>
            </w:r>
          </w:p>
        </w:tc>
        <w:tc>
          <w:tcPr>
            <w:tcW w:w="635" w:type="dxa"/>
            <w:vMerge w:val="continue"/>
            <w:vAlign w:val="center"/>
          </w:tcPr>
          <w:p>
            <w:pPr>
              <w:rPr>
                <w:rFonts w:ascii="仿宋" w:hAnsi="仿宋" w:eastAsia="仿宋" w:cs="仿宋"/>
                <w:sz w:val="18"/>
                <w:szCs w:val="18"/>
              </w:rPr>
            </w:pPr>
          </w:p>
        </w:tc>
        <w:tc>
          <w:tcPr>
            <w:tcW w:w="749" w:type="dxa"/>
            <w:vAlign w:val="center"/>
          </w:tcPr>
          <w:p>
            <w:pPr>
              <w:rPr>
                <w:rFonts w:ascii="仿宋" w:hAnsi="仿宋" w:eastAsia="仿宋" w:cs="仿宋"/>
                <w:color w:val="000000"/>
                <w:spacing w:val="-20"/>
                <w:sz w:val="18"/>
                <w:szCs w:val="18"/>
              </w:rPr>
            </w:pPr>
            <w:r>
              <w:rPr>
                <w:rFonts w:hint="eastAsia" w:ascii="仿宋" w:hAnsi="仿宋" w:eastAsia="仿宋" w:cs="仿宋"/>
                <w:color w:val="000000"/>
                <w:sz w:val="18"/>
                <w:szCs w:val="18"/>
              </w:rPr>
              <w:t>毛泽东思想和中国特色社会主义理论体系概论</w:t>
            </w:r>
          </w:p>
        </w:tc>
        <w:tc>
          <w:tcPr>
            <w:tcW w:w="2822" w:type="dxa"/>
          </w:tcPr>
          <w:p>
            <w:pPr>
              <w:rPr>
                <w:rFonts w:ascii="仿宋" w:hAnsi="仿宋" w:eastAsia="仿宋" w:cs="仿宋"/>
                <w:color w:val="000000"/>
                <w:sz w:val="18"/>
                <w:szCs w:val="18"/>
              </w:rPr>
            </w:pPr>
            <w:r>
              <w:rPr>
                <w:rFonts w:hint="eastAsia" w:ascii="仿宋" w:hAnsi="仿宋" w:eastAsia="仿宋" w:cs="仿宋"/>
                <w:color w:val="000000"/>
                <w:sz w:val="18"/>
                <w:szCs w:val="18"/>
              </w:rPr>
              <w:t>该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380" w:type="dxa"/>
          </w:tcPr>
          <w:p>
            <w:pPr>
              <w:rPr>
                <w:rFonts w:ascii="仿宋" w:hAnsi="仿宋" w:eastAsia="仿宋" w:cs="仿宋"/>
                <w:color w:val="000000"/>
                <w:sz w:val="18"/>
                <w:szCs w:val="18"/>
              </w:rPr>
            </w:pPr>
            <w:r>
              <w:rPr>
                <w:rFonts w:hint="eastAsia" w:ascii="仿宋" w:hAnsi="仿宋" w:eastAsia="仿宋" w:cs="仿宋"/>
                <w:color w:val="000000"/>
                <w:sz w:val="18"/>
                <w:szCs w:val="18"/>
              </w:rPr>
              <w:t>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2165" w:type="dxa"/>
          </w:tcPr>
          <w:p>
            <w:pPr>
              <w:rPr>
                <w:rFonts w:ascii="仿宋" w:hAnsi="仿宋" w:eastAsia="仿宋" w:cs="仿宋"/>
                <w:color w:val="000000"/>
                <w:sz w:val="18"/>
                <w:szCs w:val="18"/>
              </w:rPr>
            </w:pPr>
            <w:r>
              <w:rPr>
                <w:rFonts w:hint="eastAsia" w:ascii="仿宋" w:hAnsi="仿宋" w:eastAsia="仿宋" w:cs="仿宋"/>
                <w:color w:val="000000"/>
                <w:sz w:val="18"/>
                <w:szCs w:val="18"/>
              </w:rPr>
              <w:t>严格落实《新时代高校思想政治理论课教学工作基本要求》，以课堂教学为主，网络教学为辅，中班、小班授课，创新备课形式，综合运用多种教学方法手段，理论学习和实践体验相结合。教学中注重以下三点：一是努力掌握基本理论。二是坚持理论联系实际，</w:t>
            </w:r>
            <w:r>
              <w:rPr>
                <w:rFonts w:hint="eastAsia" w:ascii="仿宋" w:hAnsi="仿宋" w:eastAsia="仿宋" w:cs="仿宋"/>
                <w:kern w:val="0"/>
                <w:sz w:val="18"/>
                <w:szCs w:val="18"/>
              </w:rPr>
              <w:t>三是培养理论思考习惯。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 w:val="18"/>
                <w:szCs w:val="18"/>
              </w:rPr>
            </w:pPr>
            <w:r>
              <w:rPr>
                <w:rFonts w:hint="eastAsia" w:ascii="仿宋" w:hAnsi="仿宋" w:eastAsia="仿宋" w:cs="仿宋"/>
                <w:sz w:val="18"/>
                <w:szCs w:val="18"/>
              </w:rPr>
              <w:t>A031103</w:t>
            </w:r>
          </w:p>
        </w:tc>
        <w:tc>
          <w:tcPr>
            <w:tcW w:w="635" w:type="dxa"/>
            <w:vMerge w:val="continue"/>
            <w:vAlign w:val="center"/>
          </w:tcPr>
          <w:p>
            <w:pPr>
              <w:rPr>
                <w:rFonts w:ascii="仿宋" w:hAnsi="仿宋" w:eastAsia="仿宋" w:cs="仿宋"/>
                <w:sz w:val="18"/>
                <w:szCs w:val="18"/>
              </w:rPr>
            </w:pPr>
          </w:p>
        </w:tc>
        <w:tc>
          <w:tcPr>
            <w:tcW w:w="749"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形势与政策</w:t>
            </w:r>
          </w:p>
        </w:tc>
        <w:tc>
          <w:tcPr>
            <w:tcW w:w="2822"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该课程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第一时间推动党的理论创新成果进教材进课堂进学生头脑，引导大学生准确理解党的基本理论、基本路线、基本方略，引导学生正确认识世界和中国发展大势，正确认识中国特色和国际比较，正确认识时代责任和历史使命，正确认识远大抱负和脚踏实地，成为担当民族复兴大任的时代新人。</w:t>
            </w:r>
          </w:p>
        </w:tc>
        <w:tc>
          <w:tcPr>
            <w:tcW w:w="2380" w:type="dxa"/>
            <w:vAlign w:val="center"/>
          </w:tcPr>
          <w:p>
            <w:pPr>
              <w:rPr>
                <w:rFonts w:ascii="仿宋" w:hAnsi="仿宋" w:eastAsia="仿宋" w:cs="仿宋"/>
                <w:sz w:val="18"/>
                <w:szCs w:val="18"/>
              </w:rPr>
            </w:pPr>
            <w:r>
              <w:rPr>
                <w:rFonts w:hint="eastAsia" w:ascii="仿宋" w:hAnsi="仿宋" w:eastAsia="仿宋" w:cs="仿宋"/>
                <w:color w:val="000000"/>
                <w:sz w:val="18"/>
                <w:szCs w:val="18"/>
              </w:rPr>
              <w:t>该课程紧密围绕学习贯彻习近平新时代中国特色社会主义思想，重点讲授党的理论创新最新成果、新时代坚持和发展中国特色社会主义的生动实践、全面从严治党形势与政策、我国经济社会发展形势与政策、“一国两制、推进祖国统”以及国际形势与政策，中国坚持和平发展道路、推动构建人类命运共同体的新理念新贡献。同时根据形势发展要求和学生特点有针对性地合理设置教学内容。</w:t>
            </w:r>
          </w:p>
        </w:tc>
        <w:tc>
          <w:tcPr>
            <w:tcW w:w="2165"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严格落实《新时代高校思想政治理论课教学工作基本要求》，以课堂教学为主，网络教学为辅，中班、小班授课，创新备课形式，综合运用多种教学方法手段，理论学习和实践体验相结合，增加课堂讨论环节，发挥学生主体作用，引导学生主动学习，关注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A031104</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大学英语</w:t>
            </w:r>
          </w:p>
        </w:tc>
        <w:tc>
          <w:tcPr>
            <w:tcW w:w="2822" w:type="dxa"/>
            <w:vAlign w:val="center"/>
          </w:tcPr>
          <w:p>
            <w:pPr>
              <w:rPr>
                <w:rFonts w:ascii="仿宋" w:hAnsi="仿宋" w:eastAsia="仿宋" w:cs="仿宋"/>
                <w:sz w:val="18"/>
                <w:szCs w:val="18"/>
              </w:rPr>
            </w:pPr>
            <w:r>
              <w:rPr>
                <w:rFonts w:hint="eastAsia" w:ascii="仿宋" w:hAnsi="仿宋" w:eastAsia="仿宋" w:cs="仿宋"/>
                <w:sz w:val="18"/>
                <w:szCs w:val="18"/>
              </w:rPr>
              <w:t>大学英语是以外语教学理论为指导，以英语语言知识与应用技能、跨文化交际和学习策略为主要内容，并集多种教学模式和教学手段为一体的教学体系。大学英语的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2380" w:type="dxa"/>
            <w:vAlign w:val="center"/>
          </w:tcPr>
          <w:p>
            <w:pPr>
              <w:tabs>
                <w:tab w:val="left" w:pos="312"/>
              </w:tabs>
              <w:rPr>
                <w:rFonts w:ascii="仿宋" w:hAnsi="仿宋" w:eastAsia="仿宋" w:cs="仿宋"/>
                <w:sz w:val="18"/>
                <w:szCs w:val="18"/>
              </w:rPr>
            </w:pPr>
            <w:r>
              <w:rPr>
                <w:rFonts w:hint="eastAsia" w:ascii="仿宋" w:hAnsi="仿宋" w:eastAsia="仿宋" w:cs="仿宋"/>
                <w:sz w:val="18"/>
                <w:szCs w:val="18"/>
              </w:rPr>
              <w:t>(1)语言技能类</w:t>
            </w:r>
            <w:r>
              <w:rPr>
                <w:rFonts w:hint="eastAsia" w:ascii="仿宋" w:hAnsi="仿宋" w:eastAsia="仿宋" w:cs="仿宋"/>
              </w:rPr>
              <w:t> </w:t>
            </w:r>
          </w:p>
          <w:p>
            <w:pPr>
              <w:tabs>
                <w:tab w:val="left" w:pos="312"/>
              </w:tabs>
              <w:rPr>
                <w:rFonts w:ascii="仿宋" w:hAnsi="仿宋" w:eastAsia="仿宋" w:cs="仿宋"/>
                <w:sz w:val="18"/>
                <w:szCs w:val="18"/>
              </w:rPr>
            </w:pPr>
            <w:r>
              <w:rPr>
                <w:rFonts w:hint="eastAsia" w:ascii="仿宋" w:hAnsi="仿宋" w:eastAsia="仿宋" w:cs="仿宋"/>
                <w:sz w:val="18"/>
                <w:szCs w:val="18"/>
              </w:rPr>
              <w:t>(2)语言应用类 </w:t>
            </w:r>
          </w:p>
          <w:p>
            <w:pPr>
              <w:rPr>
                <w:rFonts w:ascii="仿宋" w:hAnsi="仿宋" w:eastAsia="仿宋" w:cs="仿宋"/>
                <w:sz w:val="18"/>
                <w:szCs w:val="18"/>
              </w:rPr>
            </w:pPr>
            <w:r>
              <w:rPr>
                <w:rFonts w:hint="eastAsia" w:ascii="仿宋" w:hAnsi="仿宋" w:eastAsia="仿宋" w:cs="仿宋"/>
                <w:sz w:val="18"/>
                <w:szCs w:val="18"/>
              </w:rPr>
              <w:t>(3)文化类</w:t>
            </w:r>
          </w:p>
        </w:tc>
        <w:tc>
          <w:tcPr>
            <w:tcW w:w="2165" w:type="dxa"/>
            <w:vAlign w:val="center"/>
          </w:tcPr>
          <w:p>
            <w:pPr>
              <w:rPr>
                <w:rFonts w:ascii="仿宋" w:hAnsi="仿宋" w:eastAsia="仿宋" w:cs="仿宋"/>
                <w:sz w:val="18"/>
                <w:szCs w:val="18"/>
              </w:rPr>
            </w:pPr>
            <w:r>
              <w:rPr>
                <w:rFonts w:hint="eastAsia" w:ascii="仿宋" w:hAnsi="仿宋" w:eastAsia="仿宋" w:cs="仿宋"/>
                <w:sz w:val="18"/>
                <w:szCs w:val="18"/>
              </w:rPr>
              <w:t>1. 听力理解能力：能听懂日常英语谈话和一般性题材的讲座，能听懂语速较慢的英语广播和电视节目，能掌握其中心大意，抓住要点。</w:t>
            </w:r>
          </w:p>
          <w:p>
            <w:pPr>
              <w:rPr>
                <w:rFonts w:ascii="仿宋" w:hAnsi="仿宋" w:eastAsia="仿宋" w:cs="仿宋"/>
                <w:sz w:val="18"/>
                <w:szCs w:val="18"/>
              </w:rPr>
            </w:pPr>
            <w:r>
              <w:rPr>
                <w:rFonts w:hint="eastAsia" w:ascii="仿宋" w:hAnsi="仿宋" w:eastAsia="仿宋" w:cs="仿宋"/>
                <w:sz w:val="18"/>
                <w:szCs w:val="18"/>
              </w:rPr>
              <w:t>2. 口语表达能力：能就日常话题用英语进行交谈，表达比较清楚，语音、语调基本正确。</w:t>
            </w:r>
          </w:p>
          <w:p>
            <w:pPr>
              <w:rPr>
                <w:rFonts w:ascii="仿宋" w:hAnsi="仿宋" w:eastAsia="仿宋" w:cs="仿宋"/>
                <w:sz w:val="18"/>
                <w:szCs w:val="18"/>
              </w:rPr>
            </w:pPr>
            <w:r>
              <w:rPr>
                <w:rFonts w:hint="eastAsia" w:ascii="仿宋" w:hAnsi="仿宋" w:eastAsia="仿宋" w:cs="仿宋"/>
                <w:sz w:val="18"/>
                <w:szCs w:val="18"/>
              </w:rPr>
              <w:t>3. 阅读理解能力：能基本读懂一般性题材的英文文章，阅读速度达到每分钟70词。</w:t>
            </w:r>
          </w:p>
          <w:p>
            <w:pPr>
              <w:rPr>
                <w:rFonts w:ascii="仿宋" w:hAnsi="仿宋" w:eastAsia="仿宋" w:cs="仿宋"/>
                <w:sz w:val="18"/>
                <w:szCs w:val="18"/>
              </w:rPr>
            </w:pPr>
            <w:r>
              <w:rPr>
                <w:rFonts w:hint="eastAsia" w:ascii="仿宋" w:hAnsi="仿宋" w:eastAsia="仿宋" w:cs="仿宋"/>
                <w:sz w:val="18"/>
                <w:szCs w:val="18"/>
              </w:rPr>
              <w:t>4. 书面表达能力：能完成一般性写作任务，能在半小时内就一般性话题或提纲写出不少于120词的短文，内容基本完整，用词恰当，语意连贯。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A031105</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大学语文</w:t>
            </w:r>
          </w:p>
        </w:tc>
        <w:tc>
          <w:tcPr>
            <w:tcW w:w="2822" w:type="dxa"/>
            <w:vAlign w:val="center"/>
          </w:tcPr>
          <w:p>
            <w:pPr>
              <w:rPr>
                <w:rFonts w:ascii="仿宋" w:hAnsi="仿宋" w:eastAsia="仿宋" w:cs="仿宋"/>
                <w:sz w:val="18"/>
                <w:szCs w:val="18"/>
              </w:rPr>
            </w:pPr>
            <w:r>
              <w:rPr>
                <w:rFonts w:hint="eastAsia" w:ascii="仿宋" w:hAnsi="仿宋" w:eastAsia="仿宋" w:cs="仿宋"/>
                <w:sz w:val="18"/>
                <w:szCs w:val="18"/>
              </w:rPr>
              <w:t>具备基本的语文常识，掌握诗歌、散文、小说、戏剧四大文学体裁特点，理解中国文学发展概况，尤其是课文所涉及的重要作家作品；</w:t>
            </w:r>
          </w:p>
          <w:p>
            <w:pPr>
              <w:rPr>
                <w:rFonts w:ascii="仿宋" w:hAnsi="仿宋" w:eastAsia="仿宋" w:cs="仿宋"/>
                <w:sz w:val="18"/>
                <w:szCs w:val="18"/>
              </w:rPr>
            </w:pPr>
            <w:r>
              <w:rPr>
                <w:rFonts w:hint="eastAsia" w:ascii="仿宋" w:hAnsi="仿宋" w:eastAsia="仿宋" w:cs="仿宋"/>
                <w:sz w:val="18"/>
                <w:szCs w:val="18"/>
              </w:rPr>
              <w:t>优化听说读写技能，着重提升人际沟通、应用写作、鉴赏批评、职业适应等能力；具有良好的阅读习惯和较强的母语驾驭能力，能够正确地理解和运用祖国语言文字进行表达和交流。</w:t>
            </w:r>
          </w:p>
          <w:p>
            <w:pPr>
              <w:rPr>
                <w:rFonts w:ascii="仿宋" w:hAnsi="仿宋" w:eastAsia="仿宋" w:cs="仿宋"/>
                <w:sz w:val="18"/>
                <w:szCs w:val="18"/>
              </w:rPr>
            </w:pPr>
          </w:p>
        </w:tc>
        <w:tc>
          <w:tcPr>
            <w:tcW w:w="2380" w:type="dxa"/>
            <w:vAlign w:val="center"/>
          </w:tcPr>
          <w:p>
            <w:pPr>
              <w:rPr>
                <w:rFonts w:ascii="仿宋" w:hAnsi="仿宋" w:eastAsia="仿宋" w:cs="仿宋"/>
                <w:sz w:val="18"/>
                <w:szCs w:val="18"/>
              </w:rPr>
            </w:pPr>
            <w:r>
              <w:rPr>
                <w:rFonts w:hint="eastAsia" w:ascii="仿宋" w:hAnsi="仿宋" w:eastAsia="仿宋" w:cs="仿宋"/>
                <w:sz w:val="18"/>
                <w:szCs w:val="18"/>
              </w:rPr>
              <w:t>（1）文学欣赏</w:t>
            </w:r>
          </w:p>
          <w:p>
            <w:pPr>
              <w:rPr>
                <w:rFonts w:ascii="仿宋" w:hAnsi="仿宋" w:eastAsia="仿宋" w:cs="仿宋"/>
                <w:sz w:val="18"/>
                <w:szCs w:val="18"/>
              </w:rPr>
            </w:pPr>
          </w:p>
          <w:p>
            <w:pPr>
              <w:rPr>
                <w:rFonts w:ascii="仿宋" w:hAnsi="仿宋" w:eastAsia="仿宋" w:cs="仿宋"/>
                <w:sz w:val="18"/>
                <w:szCs w:val="18"/>
              </w:rPr>
            </w:pPr>
            <w:r>
              <w:rPr>
                <w:rFonts w:hint="eastAsia" w:ascii="仿宋" w:hAnsi="仿宋" w:eastAsia="仿宋" w:cs="仿宋"/>
                <w:sz w:val="18"/>
                <w:szCs w:val="18"/>
              </w:rPr>
              <w:t>（2）语言应用</w:t>
            </w:r>
          </w:p>
          <w:p>
            <w:pPr>
              <w:rPr>
                <w:rFonts w:ascii="仿宋" w:hAnsi="仿宋" w:eastAsia="仿宋" w:cs="仿宋"/>
                <w:sz w:val="18"/>
                <w:szCs w:val="18"/>
              </w:rPr>
            </w:pPr>
          </w:p>
          <w:p>
            <w:pPr>
              <w:rPr>
                <w:rFonts w:ascii="仿宋" w:hAnsi="仿宋" w:eastAsia="仿宋" w:cs="仿宋"/>
                <w:sz w:val="18"/>
                <w:szCs w:val="18"/>
              </w:rPr>
            </w:pPr>
            <w:r>
              <w:rPr>
                <w:rFonts w:hint="eastAsia" w:ascii="仿宋" w:hAnsi="仿宋" w:eastAsia="仿宋" w:cs="仿宋"/>
                <w:sz w:val="18"/>
                <w:szCs w:val="18"/>
              </w:rPr>
              <w:t>（3）写作能力</w:t>
            </w:r>
          </w:p>
        </w:tc>
        <w:tc>
          <w:tcPr>
            <w:tcW w:w="2165" w:type="dxa"/>
            <w:vAlign w:val="center"/>
          </w:tcPr>
          <w:p>
            <w:pPr>
              <w:rPr>
                <w:rFonts w:ascii="仿宋" w:hAnsi="仿宋" w:eastAsia="仿宋" w:cs="仿宋"/>
                <w:sz w:val="18"/>
                <w:szCs w:val="18"/>
              </w:rPr>
            </w:pPr>
            <w:r>
              <w:rPr>
                <w:rFonts w:hint="eastAsia" w:ascii="仿宋" w:hAnsi="仿宋" w:eastAsia="仿宋" w:cs="仿宋"/>
                <w:sz w:val="18"/>
                <w:szCs w:val="18"/>
              </w:rPr>
              <w:t>1.注重教学的整体设计。</w:t>
            </w:r>
          </w:p>
          <w:p>
            <w:pPr>
              <w:rPr>
                <w:rFonts w:ascii="仿宋" w:hAnsi="仿宋" w:eastAsia="仿宋" w:cs="仿宋"/>
                <w:sz w:val="18"/>
                <w:szCs w:val="18"/>
              </w:rPr>
            </w:pPr>
          </w:p>
          <w:p>
            <w:pPr>
              <w:rPr>
                <w:rFonts w:ascii="仿宋" w:hAnsi="仿宋" w:eastAsia="仿宋" w:cs="仿宋"/>
                <w:sz w:val="18"/>
                <w:szCs w:val="18"/>
              </w:rPr>
            </w:pPr>
            <w:r>
              <w:rPr>
                <w:rFonts w:hint="eastAsia" w:ascii="仿宋" w:hAnsi="仿宋" w:eastAsia="仿宋" w:cs="仿宋"/>
                <w:sz w:val="18"/>
                <w:szCs w:val="18"/>
              </w:rPr>
              <w:t>2. 提倡学生的自主学习。发挥学生主体意识，积极倡导自主、合作、探究的学习方式。</w:t>
            </w:r>
          </w:p>
          <w:p>
            <w:pPr>
              <w:rPr>
                <w:rFonts w:ascii="仿宋" w:hAnsi="仿宋" w:eastAsia="仿宋" w:cs="仿宋"/>
                <w:sz w:val="18"/>
                <w:szCs w:val="18"/>
              </w:rPr>
            </w:pPr>
          </w:p>
          <w:p>
            <w:pPr>
              <w:rPr>
                <w:rFonts w:ascii="仿宋" w:hAnsi="仿宋" w:eastAsia="仿宋" w:cs="仿宋"/>
                <w:sz w:val="18"/>
                <w:szCs w:val="18"/>
              </w:rPr>
            </w:pPr>
            <w:r>
              <w:rPr>
                <w:rFonts w:hint="eastAsia" w:ascii="仿宋" w:hAnsi="仿宋" w:eastAsia="仿宋" w:cs="仿宋"/>
                <w:sz w:val="18"/>
                <w:szCs w:val="18"/>
              </w:rPr>
              <w:t>3.强化课程的应用实践。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A031106</w:t>
            </w:r>
          </w:p>
        </w:tc>
        <w:tc>
          <w:tcPr>
            <w:tcW w:w="635" w:type="dxa"/>
            <w:vMerge w:val="continue"/>
            <w:vAlign w:val="center"/>
          </w:tcPr>
          <w:p>
            <w:pPr>
              <w:rPr>
                <w:rFonts w:ascii="仿宋" w:hAnsi="仿宋" w:eastAsia="仿宋" w:cs="仿宋"/>
                <w:szCs w:val="21"/>
              </w:rPr>
            </w:pPr>
          </w:p>
        </w:tc>
        <w:tc>
          <w:tcPr>
            <w:tcW w:w="749"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军事理论</w:t>
            </w:r>
          </w:p>
        </w:tc>
        <w:tc>
          <w:tcPr>
            <w:tcW w:w="2822" w:type="dxa"/>
            <w:vMerge w:val="restart"/>
            <w:vAlign w:val="center"/>
          </w:tcPr>
          <w:p>
            <w:pPr>
              <w:rPr>
                <w:rFonts w:ascii="仿宋" w:hAnsi="仿宋" w:eastAsia="仿宋" w:cs="仿宋"/>
                <w:sz w:val="18"/>
                <w:szCs w:val="18"/>
              </w:rPr>
            </w:pPr>
            <w:r>
              <w:rPr>
                <w:rFonts w:hint="eastAsia" w:ascii="仿宋" w:hAnsi="仿宋" w:eastAsia="仿宋" w:cs="仿宋"/>
                <w:sz w:val="18"/>
                <w:szCs w:val="18"/>
              </w:rPr>
              <w:t>让学生理解掌握军事基础知识和基本军事技能，增强国防观念、国家安全意识和忧患危机意识，弘扬爱国主义精神、传承红色基因、提高学生综合国防素质</w:t>
            </w:r>
          </w:p>
        </w:tc>
        <w:tc>
          <w:tcPr>
            <w:tcW w:w="2380" w:type="dxa"/>
            <w:vAlign w:val="center"/>
          </w:tcPr>
          <w:p>
            <w:pPr>
              <w:rPr>
                <w:rFonts w:ascii="仿宋" w:hAnsi="仿宋" w:eastAsia="仿宋" w:cs="仿宋"/>
                <w:sz w:val="18"/>
                <w:szCs w:val="18"/>
              </w:rPr>
            </w:pPr>
            <w:r>
              <w:rPr>
                <w:rFonts w:hint="eastAsia" w:ascii="仿宋" w:hAnsi="仿宋" w:eastAsia="仿宋" w:cs="仿宋"/>
                <w:sz w:val="18"/>
                <w:szCs w:val="18"/>
              </w:rPr>
              <w:t>（1）中国国防</w:t>
            </w:r>
          </w:p>
          <w:p>
            <w:pPr>
              <w:rPr>
                <w:rFonts w:ascii="仿宋" w:hAnsi="仿宋" w:eastAsia="仿宋" w:cs="仿宋"/>
                <w:sz w:val="18"/>
                <w:szCs w:val="18"/>
              </w:rPr>
            </w:pPr>
            <w:r>
              <w:rPr>
                <w:rFonts w:hint="eastAsia" w:ascii="仿宋" w:hAnsi="仿宋" w:eastAsia="仿宋" w:cs="仿宋"/>
                <w:sz w:val="18"/>
                <w:szCs w:val="18"/>
              </w:rPr>
              <w:t>（2）国家安全</w:t>
            </w:r>
          </w:p>
          <w:p>
            <w:pPr>
              <w:rPr>
                <w:rFonts w:ascii="仿宋" w:hAnsi="仿宋" w:eastAsia="仿宋" w:cs="仿宋"/>
                <w:sz w:val="18"/>
                <w:szCs w:val="18"/>
              </w:rPr>
            </w:pPr>
            <w:r>
              <w:rPr>
                <w:rFonts w:hint="eastAsia" w:ascii="仿宋" w:hAnsi="仿宋" w:eastAsia="仿宋" w:cs="仿宋"/>
                <w:sz w:val="18"/>
                <w:szCs w:val="18"/>
              </w:rPr>
              <w:t>（3）军事思想</w:t>
            </w:r>
          </w:p>
          <w:p>
            <w:pPr>
              <w:rPr>
                <w:rFonts w:ascii="仿宋" w:hAnsi="仿宋" w:eastAsia="仿宋" w:cs="仿宋"/>
                <w:sz w:val="18"/>
                <w:szCs w:val="18"/>
              </w:rPr>
            </w:pPr>
            <w:r>
              <w:rPr>
                <w:rFonts w:hint="eastAsia" w:ascii="仿宋" w:hAnsi="仿宋" w:eastAsia="仿宋" w:cs="仿宋"/>
                <w:sz w:val="18"/>
                <w:szCs w:val="18"/>
              </w:rPr>
              <w:t>（4）现代战争</w:t>
            </w:r>
          </w:p>
          <w:p>
            <w:pPr>
              <w:rPr>
                <w:rFonts w:ascii="仿宋" w:hAnsi="仿宋" w:eastAsia="仿宋" w:cs="仿宋"/>
                <w:sz w:val="18"/>
                <w:szCs w:val="18"/>
              </w:rPr>
            </w:pPr>
            <w:r>
              <w:rPr>
                <w:rFonts w:hint="eastAsia" w:ascii="仿宋" w:hAnsi="仿宋" w:eastAsia="仿宋" w:cs="仿宋"/>
                <w:sz w:val="18"/>
                <w:szCs w:val="18"/>
              </w:rPr>
              <w:t>（5）信息化装备</w:t>
            </w:r>
          </w:p>
        </w:tc>
        <w:tc>
          <w:tcPr>
            <w:tcW w:w="2165" w:type="dxa"/>
            <w:vAlign w:val="center"/>
          </w:tcPr>
          <w:p>
            <w:pPr>
              <w:rPr>
                <w:rFonts w:ascii="仿宋" w:hAnsi="仿宋" w:eastAsia="仿宋" w:cs="仿宋"/>
                <w:sz w:val="18"/>
                <w:szCs w:val="18"/>
              </w:rPr>
            </w:pPr>
            <w:r>
              <w:rPr>
                <w:rFonts w:hint="eastAsia" w:ascii="仿宋" w:hAnsi="仿宋" w:eastAsia="仿宋" w:cs="仿宋"/>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A031107</w:t>
            </w:r>
          </w:p>
        </w:tc>
        <w:tc>
          <w:tcPr>
            <w:tcW w:w="635" w:type="dxa"/>
            <w:vMerge w:val="continue"/>
            <w:vAlign w:val="center"/>
          </w:tcPr>
          <w:p>
            <w:pPr>
              <w:rPr>
                <w:rFonts w:ascii="仿宋" w:hAnsi="仿宋" w:eastAsia="仿宋" w:cs="仿宋"/>
                <w:szCs w:val="21"/>
              </w:rPr>
            </w:pPr>
          </w:p>
        </w:tc>
        <w:tc>
          <w:tcPr>
            <w:tcW w:w="749"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军事技能</w:t>
            </w:r>
          </w:p>
        </w:tc>
        <w:tc>
          <w:tcPr>
            <w:tcW w:w="2822" w:type="dxa"/>
            <w:vMerge w:val="continue"/>
            <w:vAlign w:val="center"/>
          </w:tcPr>
          <w:p>
            <w:pPr>
              <w:rPr>
                <w:rFonts w:ascii="仿宋" w:hAnsi="仿宋" w:eastAsia="仿宋" w:cs="仿宋"/>
                <w:sz w:val="18"/>
                <w:szCs w:val="18"/>
              </w:rPr>
            </w:pPr>
          </w:p>
        </w:tc>
        <w:tc>
          <w:tcPr>
            <w:tcW w:w="2380" w:type="dxa"/>
            <w:vAlign w:val="center"/>
          </w:tcPr>
          <w:p>
            <w:pPr>
              <w:rPr>
                <w:rFonts w:ascii="仿宋" w:hAnsi="仿宋" w:eastAsia="仿宋" w:cs="仿宋"/>
                <w:sz w:val="18"/>
                <w:szCs w:val="18"/>
              </w:rPr>
            </w:pPr>
            <w:r>
              <w:rPr>
                <w:rFonts w:hint="eastAsia" w:ascii="仿宋" w:hAnsi="仿宋" w:eastAsia="仿宋" w:cs="仿宋"/>
                <w:sz w:val="18"/>
                <w:szCs w:val="18"/>
              </w:rPr>
              <w:t>（1）共同条令教育与训练</w:t>
            </w:r>
          </w:p>
          <w:p>
            <w:pPr>
              <w:rPr>
                <w:rFonts w:ascii="仿宋" w:hAnsi="仿宋" w:eastAsia="仿宋" w:cs="仿宋"/>
                <w:sz w:val="18"/>
                <w:szCs w:val="18"/>
              </w:rPr>
            </w:pPr>
            <w:r>
              <w:rPr>
                <w:rFonts w:hint="eastAsia" w:ascii="仿宋" w:hAnsi="仿宋" w:eastAsia="仿宋" w:cs="仿宋"/>
                <w:sz w:val="18"/>
                <w:szCs w:val="18"/>
              </w:rPr>
              <w:t>（2）射击与战术训练</w:t>
            </w:r>
          </w:p>
          <w:p>
            <w:pPr>
              <w:rPr>
                <w:rFonts w:ascii="仿宋" w:hAnsi="仿宋" w:eastAsia="仿宋" w:cs="仿宋"/>
                <w:sz w:val="18"/>
                <w:szCs w:val="18"/>
              </w:rPr>
            </w:pPr>
            <w:r>
              <w:rPr>
                <w:rFonts w:hint="eastAsia" w:ascii="仿宋" w:hAnsi="仿宋" w:eastAsia="仿宋" w:cs="仿宋"/>
                <w:sz w:val="18"/>
                <w:szCs w:val="18"/>
              </w:rPr>
              <w:t>（3）防卫技能与战时防护训练</w:t>
            </w:r>
          </w:p>
          <w:p>
            <w:pPr>
              <w:rPr>
                <w:rFonts w:ascii="仿宋" w:hAnsi="仿宋" w:eastAsia="仿宋" w:cs="仿宋"/>
                <w:sz w:val="18"/>
                <w:szCs w:val="18"/>
              </w:rPr>
            </w:pPr>
            <w:r>
              <w:rPr>
                <w:rFonts w:hint="eastAsia" w:ascii="仿宋" w:hAnsi="仿宋" w:eastAsia="仿宋" w:cs="仿宋"/>
                <w:sz w:val="18"/>
                <w:szCs w:val="18"/>
              </w:rPr>
              <w:t>（4）战备基础与应用训练</w:t>
            </w:r>
          </w:p>
        </w:tc>
        <w:tc>
          <w:tcPr>
            <w:tcW w:w="2165" w:type="dxa"/>
            <w:vAlign w:val="center"/>
          </w:tcPr>
          <w:p>
            <w:pPr>
              <w:rPr>
                <w:rFonts w:ascii="仿宋" w:hAnsi="仿宋" w:eastAsia="仿宋" w:cs="仿宋"/>
                <w:sz w:val="18"/>
                <w:szCs w:val="18"/>
              </w:rPr>
            </w:pPr>
            <w:r>
              <w:rPr>
                <w:rFonts w:hint="eastAsia" w:ascii="仿宋" w:hAnsi="仿宋" w:eastAsia="仿宋" w:cs="仿宋"/>
                <w:sz w:val="18"/>
                <w:szCs w:val="18"/>
              </w:rPr>
              <w:t>训练坚持按纲施训、依法治训原则，积极推广仿真训练和模拟训练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A031108</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计算机基础知识</w:t>
            </w:r>
          </w:p>
        </w:tc>
        <w:tc>
          <w:tcPr>
            <w:tcW w:w="2822" w:type="dxa"/>
            <w:vAlign w:val="center"/>
          </w:tcPr>
          <w:p>
            <w:pPr>
              <w:widowControl/>
              <w:jc w:val="left"/>
              <w:rPr>
                <w:rFonts w:ascii="仿宋" w:hAnsi="仿宋" w:eastAsia="仿宋" w:cs="仿宋"/>
                <w:kern w:val="0"/>
                <w:sz w:val="18"/>
                <w:szCs w:val="18"/>
              </w:rPr>
            </w:pPr>
            <w:r>
              <w:rPr>
                <w:rFonts w:hint="eastAsia" w:ascii="仿宋" w:hAnsi="仿宋" w:eastAsia="仿宋" w:cs="仿宋"/>
                <w:kern w:val="0"/>
                <w:sz w:val="18"/>
                <w:szCs w:val="18"/>
              </w:rPr>
              <w:t>《计算机应用基础》是高职高专院校所有专业学生的一门必修课，通过该门课程激发和培养学生使用计算机解决实际问题的能力，培养学生自主学习的能力和团队协作精神；培养学生的创新精神，拓展视野，形成健康的人生观，为他们的终身学习和发展打下良好的基础，该门课程可为各专业的信息化应用提供必要的支撑。</w:t>
            </w:r>
          </w:p>
          <w:p>
            <w:pPr>
              <w:rPr>
                <w:rFonts w:ascii="仿宋" w:hAnsi="仿宋" w:eastAsia="仿宋" w:cs="仿宋"/>
                <w:sz w:val="18"/>
                <w:szCs w:val="18"/>
              </w:rPr>
            </w:pPr>
          </w:p>
        </w:tc>
        <w:tc>
          <w:tcPr>
            <w:tcW w:w="2380" w:type="dxa"/>
            <w:vAlign w:val="center"/>
          </w:tcPr>
          <w:p>
            <w:pPr>
              <w:rPr>
                <w:rFonts w:ascii="仿宋" w:hAnsi="仿宋" w:eastAsia="仿宋" w:cs="仿宋"/>
                <w:kern w:val="0"/>
                <w:sz w:val="18"/>
                <w:szCs w:val="18"/>
              </w:rPr>
            </w:pPr>
            <w:r>
              <w:rPr>
                <w:rFonts w:hint="eastAsia" w:ascii="仿宋" w:hAnsi="仿宋" w:eastAsia="仿宋" w:cs="仿宋"/>
                <w:kern w:val="0"/>
                <w:sz w:val="18"/>
                <w:szCs w:val="18"/>
              </w:rPr>
              <w:t>（1）掌握计算机的初步知识；</w:t>
            </w:r>
          </w:p>
          <w:p>
            <w:pPr>
              <w:rPr>
                <w:rFonts w:ascii="仿宋" w:hAnsi="仿宋" w:eastAsia="仿宋" w:cs="仿宋"/>
                <w:kern w:val="0"/>
                <w:sz w:val="18"/>
                <w:szCs w:val="18"/>
              </w:rPr>
            </w:pPr>
            <w:r>
              <w:rPr>
                <w:rFonts w:hint="eastAsia" w:ascii="仿宋" w:hAnsi="仿宋" w:eastAsia="仿宋" w:cs="仿宋"/>
                <w:kern w:val="0"/>
                <w:sz w:val="18"/>
                <w:szCs w:val="18"/>
              </w:rPr>
              <w:t>（2）理解计算机系统的基本组成和工作原理；</w:t>
            </w:r>
          </w:p>
          <w:p>
            <w:pPr>
              <w:rPr>
                <w:rFonts w:ascii="仿宋" w:hAnsi="仿宋" w:eastAsia="仿宋" w:cs="仿宋"/>
                <w:kern w:val="0"/>
                <w:sz w:val="18"/>
                <w:szCs w:val="18"/>
              </w:rPr>
            </w:pPr>
            <w:r>
              <w:rPr>
                <w:rFonts w:hint="eastAsia" w:ascii="仿宋" w:hAnsi="仿宋" w:eastAsia="仿宋" w:cs="仿宋"/>
                <w:kern w:val="0"/>
                <w:sz w:val="18"/>
                <w:szCs w:val="18"/>
              </w:rPr>
              <w:t>（3）理解操作系统的功能，掌握Windows 7的基本操作，比较熟练地管理计算机系统，掌握一种常用的汉字输入方法；</w:t>
            </w:r>
          </w:p>
          <w:p>
            <w:pPr>
              <w:rPr>
                <w:rFonts w:ascii="仿宋" w:hAnsi="仿宋" w:eastAsia="仿宋" w:cs="仿宋"/>
                <w:kern w:val="0"/>
                <w:sz w:val="18"/>
                <w:szCs w:val="18"/>
              </w:rPr>
            </w:pPr>
            <w:r>
              <w:rPr>
                <w:rFonts w:hint="eastAsia" w:ascii="仿宋" w:hAnsi="仿宋" w:eastAsia="仿宋" w:cs="仿宋"/>
                <w:kern w:val="0"/>
                <w:sz w:val="18"/>
                <w:szCs w:val="18"/>
              </w:rPr>
              <w:t>（4）掌握实现文字图表混排的实用文字编辑软件Word 2010的应用技能；</w:t>
            </w:r>
          </w:p>
          <w:p>
            <w:pPr>
              <w:rPr>
                <w:rFonts w:ascii="仿宋" w:hAnsi="仿宋" w:eastAsia="仿宋" w:cs="仿宋"/>
                <w:kern w:val="0"/>
                <w:sz w:val="18"/>
                <w:szCs w:val="18"/>
              </w:rPr>
            </w:pPr>
            <w:r>
              <w:rPr>
                <w:rFonts w:hint="eastAsia" w:ascii="仿宋" w:hAnsi="仿宋" w:eastAsia="仿宋" w:cs="仿宋"/>
                <w:kern w:val="0"/>
                <w:sz w:val="18"/>
                <w:szCs w:val="18"/>
              </w:rPr>
              <w:t>（5）掌握使用电子表格处理软件Exce1 2010处理各种报表的基本方法；</w:t>
            </w:r>
          </w:p>
          <w:p>
            <w:pPr>
              <w:rPr>
                <w:rFonts w:ascii="仿宋" w:hAnsi="仿宋" w:eastAsia="仿宋" w:cs="仿宋"/>
                <w:kern w:val="0"/>
                <w:sz w:val="18"/>
                <w:szCs w:val="18"/>
              </w:rPr>
            </w:pPr>
            <w:r>
              <w:rPr>
                <w:rFonts w:hint="eastAsia" w:ascii="仿宋" w:hAnsi="仿宋" w:eastAsia="仿宋" w:cs="仿宋"/>
                <w:kern w:val="0"/>
                <w:sz w:val="18"/>
                <w:szCs w:val="18"/>
              </w:rPr>
              <w:t>（6）掌握使用演示文稿创作软件Power point2010制作各种演示文稿；</w:t>
            </w:r>
          </w:p>
          <w:p>
            <w:pPr>
              <w:rPr>
                <w:rFonts w:ascii="仿宋" w:hAnsi="仿宋" w:eastAsia="仿宋" w:cs="仿宋"/>
                <w:kern w:val="0"/>
                <w:sz w:val="18"/>
                <w:szCs w:val="18"/>
              </w:rPr>
            </w:pPr>
            <w:r>
              <w:rPr>
                <w:rFonts w:hint="eastAsia" w:ascii="仿宋" w:hAnsi="仿宋" w:eastAsia="仿宋" w:cs="仿宋"/>
                <w:kern w:val="0"/>
                <w:sz w:val="18"/>
                <w:szCs w:val="18"/>
              </w:rPr>
              <w:t>（7）理解计算机网络的基础知识及操作；</w:t>
            </w:r>
          </w:p>
          <w:p>
            <w:pPr>
              <w:rPr>
                <w:rFonts w:ascii="仿宋" w:hAnsi="仿宋" w:eastAsia="仿宋" w:cs="仿宋"/>
                <w:sz w:val="18"/>
                <w:szCs w:val="18"/>
              </w:rPr>
            </w:pPr>
            <w:r>
              <w:rPr>
                <w:rFonts w:hint="eastAsia" w:ascii="仿宋" w:hAnsi="仿宋" w:eastAsia="仿宋" w:cs="仿宋"/>
                <w:kern w:val="0"/>
                <w:sz w:val="18"/>
                <w:szCs w:val="18"/>
              </w:rPr>
              <w:t>（8）掌握计算机病毒的防治知识。</w:t>
            </w:r>
          </w:p>
        </w:tc>
        <w:tc>
          <w:tcPr>
            <w:tcW w:w="2165" w:type="dxa"/>
            <w:vAlign w:val="center"/>
          </w:tcPr>
          <w:p>
            <w:pPr>
              <w:rPr>
                <w:rFonts w:ascii="仿宋" w:hAnsi="仿宋" w:eastAsia="仿宋" w:cs="仿宋"/>
                <w:sz w:val="18"/>
                <w:szCs w:val="18"/>
              </w:rPr>
            </w:pPr>
            <w:r>
              <w:rPr>
                <w:rFonts w:hint="eastAsia" w:ascii="仿宋" w:hAnsi="仿宋" w:eastAsia="仿宋" w:cs="仿宋"/>
                <w:kern w:val="0"/>
                <w:sz w:val="18"/>
                <w:szCs w:val="18"/>
              </w:rPr>
              <w:t>严格落实教育部高等学校计算机科学与技术教学指导委员会《关于进一步加强高等学校计算机基础教学的意见暨计算机基础课程教学基本要求》及教育部高等学校计算机基础课程教学指导委员会提出的以“培养学生计算机应用能力和计算思维能力”作为计算机基础课程培养目标，重点培养学生计算机应用能力的要求。以多媒体机房教学为主，网络教学为辅，小班授课，综合运用多种教学方法手段，理论学习和实践操练相结合，注重实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A031109</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sz w:val="18"/>
                <w:szCs w:val="18"/>
              </w:rPr>
            </w:pPr>
            <w:r>
              <w:rPr>
                <w:rFonts w:hint="eastAsia" w:ascii="仿宋" w:hAnsi="仿宋" w:eastAsia="仿宋" w:cs="仿宋"/>
                <w:color w:val="000000"/>
                <w:sz w:val="18"/>
                <w:szCs w:val="18"/>
              </w:rPr>
              <w:t>大学生心理健康教育</w:t>
            </w:r>
          </w:p>
        </w:tc>
        <w:tc>
          <w:tcPr>
            <w:tcW w:w="2822" w:type="dxa"/>
            <w:vAlign w:val="center"/>
          </w:tcPr>
          <w:p>
            <w:pPr>
              <w:autoSpaceDN w:val="0"/>
              <w:rPr>
                <w:rFonts w:ascii="仿宋" w:hAnsi="仿宋" w:eastAsia="仿宋" w:cs="仿宋"/>
                <w:color w:val="000000"/>
                <w:sz w:val="18"/>
                <w:szCs w:val="18"/>
              </w:rPr>
            </w:pPr>
            <w:r>
              <w:rPr>
                <w:rFonts w:hint="eastAsia" w:ascii="仿宋" w:hAnsi="仿宋" w:eastAsia="仿宋" w:cs="仿宋"/>
                <w:color w:val="000000"/>
                <w:sz w:val="18"/>
                <w:szCs w:val="18"/>
              </w:rPr>
              <w:t>理解心理健康的标准及意义，培养自我认知能力、人际沟通能力、自我调节能力，切实提高心理素质，增强自我心理保健意识和心理危机预防意识，促进学生全面发展</w:t>
            </w:r>
          </w:p>
        </w:tc>
        <w:tc>
          <w:tcPr>
            <w:tcW w:w="2380"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以帮助学生树立心理健康意识、优化心理品质、增强心理调适能力和社会生活的适应能力为取向；针对大学生心理健康展开主题教育，引导学生处理好环境适应、自我管理、人际交往、交友恋爱、情绪调节、人格发展和求职择业等方面的问题和困惑，提高心理健康水平</w:t>
            </w:r>
          </w:p>
        </w:tc>
        <w:tc>
          <w:tcPr>
            <w:tcW w:w="2165" w:type="dxa"/>
            <w:vAlign w:val="center"/>
          </w:tcPr>
          <w:p>
            <w:pPr>
              <w:autoSpaceDN w:val="0"/>
              <w:rPr>
                <w:rFonts w:ascii="仿宋" w:hAnsi="仿宋" w:eastAsia="仿宋" w:cs="仿宋"/>
                <w:sz w:val="18"/>
                <w:szCs w:val="18"/>
              </w:rPr>
            </w:pPr>
            <w:r>
              <w:rPr>
                <w:rFonts w:hint="eastAsia" w:ascii="仿宋" w:hAnsi="仿宋" w:eastAsia="仿宋" w:cs="仿宋"/>
                <w:color w:val="000000"/>
                <w:sz w:val="18"/>
                <w:szCs w:val="18"/>
              </w:rPr>
              <w:t>以教学内容为基础，适当结合教育实践和日常生活中的热点问题，丰富和加深教学内容；贯彻启发式教学思想，积极组织课堂讨论，使用多媒体教学手段，从而提高教学效率和质量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A031110</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sz w:val="18"/>
                <w:szCs w:val="18"/>
              </w:rPr>
            </w:pPr>
            <w:r>
              <w:rPr>
                <w:rFonts w:hint="eastAsia" w:ascii="仿宋" w:hAnsi="仿宋" w:eastAsia="仿宋" w:cs="仿宋"/>
                <w:color w:val="000000"/>
                <w:sz w:val="18"/>
                <w:szCs w:val="18"/>
              </w:rPr>
              <w:t>大学体育</w:t>
            </w:r>
          </w:p>
        </w:tc>
        <w:tc>
          <w:tcPr>
            <w:tcW w:w="2822" w:type="dxa"/>
            <w:vAlign w:val="center"/>
          </w:tcPr>
          <w:p>
            <w:pPr>
              <w:rPr>
                <w:rFonts w:ascii="仿宋" w:hAnsi="仿宋" w:eastAsia="仿宋" w:cs="仿宋"/>
                <w:sz w:val="18"/>
                <w:szCs w:val="18"/>
              </w:rPr>
            </w:pPr>
            <w:r>
              <w:rPr>
                <w:rFonts w:hint="eastAsia" w:ascii="仿宋" w:hAnsi="仿宋" w:eastAsia="仿宋" w:cs="仿宋"/>
                <w:sz w:val="18"/>
                <w:szCs w:val="18"/>
              </w:rPr>
              <w:t>在学习体育基本知识，基本技术基础上，培养体育运动的基本能力，锻炼意志品质，提高科学展水平，树立终身体育理念。</w:t>
            </w:r>
          </w:p>
        </w:tc>
        <w:tc>
          <w:tcPr>
            <w:tcW w:w="2380" w:type="dxa"/>
            <w:vAlign w:val="center"/>
          </w:tcPr>
          <w:p>
            <w:pPr>
              <w:rPr>
                <w:rFonts w:ascii="仿宋" w:hAnsi="仿宋" w:eastAsia="仿宋" w:cs="仿宋"/>
                <w:sz w:val="18"/>
                <w:szCs w:val="18"/>
              </w:rPr>
            </w:pPr>
            <w:r>
              <w:rPr>
                <w:rFonts w:hint="eastAsia" w:ascii="仿宋" w:hAnsi="仿宋" w:eastAsia="仿宋" w:cs="仿宋"/>
                <w:sz w:val="18"/>
                <w:szCs w:val="18"/>
              </w:rPr>
              <w:t>以体育运动项目为主要教学内容，涵盖田径，篮球，排球，足球，武术，健美操，乒羽小球……等项目，附以相关理论知识，全面提升体育运动锻炼能力和教育教学水平。</w:t>
            </w:r>
          </w:p>
        </w:tc>
        <w:tc>
          <w:tcPr>
            <w:tcW w:w="2165" w:type="dxa"/>
            <w:vAlign w:val="center"/>
          </w:tcPr>
          <w:p>
            <w:pPr>
              <w:rPr>
                <w:rFonts w:ascii="仿宋" w:hAnsi="仿宋" w:eastAsia="仿宋" w:cs="仿宋"/>
                <w:sz w:val="18"/>
                <w:szCs w:val="18"/>
              </w:rPr>
            </w:pPr>
            <w:r>
              <w:rPr>
                <w:rFonts w:hint="eastAsia" w:ascii="仿宋" w:hAnsi="仿宋" w:eastAsia="仿宋" w:cs="仿宋"/>
                <w:sz w:val="18"/>
                <w:szCs w:val="18"/>
              </w:rPr>
              <w:t>全面落实《普通高等学校体育课程教学指导纲要》，以班级课堂教学为主要形式，创新备课方式和教学方法，综运用各种教学手段和资源，采用实践体验为主，理论提升为辅的教育教学模式。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A031111</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sz w:val="18"/>
                <w:szCs w:val="18"/>
              </w:rPr>
            </w:pPr>
            <w:r>
              <w:rPr>
                <w:rFonts w:hint="eastAsia" w:ascii="仿宋" w:hAnsi="仿宋" w:eastAsia="仿宋" w:cs="仿宋"/>
                <w:color w:val="000000"/>
                <w:sz w:val="18"/>
                <w:szCs w:val="18"/>
              </w:rPr>
              <w:t>职业发展规划</w:t>
            </w:r>
          </w:p>
        </w:tc>
        <w:tc>
          <w:tcPr>
            <w:tcW w:w="2822"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2380"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依据教育部关于《大学生职业发展与就业指导课程教学要求》以学生职业生涯教育和职业理想教育为主要内容，引导学生树立正确的职业理念和职业理想，学会根据社会需求和自身特点进行职业生涯规划。</w:t>
            </w:r>
          </w:p>
        </w:tc>
        <w:tc>
          <w:tcPr>
            <w:tcW w:w="2165"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课堂教学为主，适当辅之职业生涯规划活动，如生涯发展调查、模拟演练等形式，唤醒学生职业生涯规划意识，科学进行生涯规划。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A031112</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就业指导</w:t>
            </w:r>
          </w:p>
        </w:tc>
        <w:tc>
          <w:tcPr>
            <w:tcW w:w="2822"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为学生提供就业政策、求职技巧、就业信息等方面的指导，帮助各专业学生理解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c>
          <w:tcPr>
            <w:tcW w:w="2380" w:type="dxa"/>
            <w:vAlign w:val="center"/>
          </w:tcPr>
          <w:p>
            <w:pPr>
              <w:pStyle w:val="13"/>
              <w:rPr>
                <w:rFonts w:ascii="仿宋" w:hAnsi="仿宋" w:eastAsia="仿宋" w:cs="仿宋"/>
                <w:color w:val="000000"/>
                <w:sz w:val="18"/>
                <w:szCs w:val="18"/>
              </w:rPr>
            </w:pPr>
            <w:r>
              <w:rPr>
                <w:rFonts w:hint="eastAsia" w:ascii="仿宋" w:hAnsi="仿宋" w:eastAsia="仿宋" w:cs="仿宋"/>
                <w:color w:val="000000"/>
                <w:sz w:val="18"/>
                <w:szCs w:val="18"/>
              </w:rPr>
              <w:t>依据教育部关于《大学生职业发展与就业指导课程教学要求》，以帮助大学生认识自己，理解职场，合理定位职业目标，帮助大学生理解劳动力市场和国家就业政策，教导他们搜索就业信息，制作求职简历，掌握基本的面试、签约技巧，调适求职心态，初步形成职场适应能力等为主要内容，最终实现帮助大学生顺利走向社会、走向工作岗位。</w:t>
            </w:r>
          </w:p>
        </w:tc>
        <w:tc>
          <w:tcPr>
            <w:tcW w:w="2165"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以课堂教学为主，个性化就业创业指导为辅，理论和实践课程交替进行的教学模式，集体传授与个性辅导相结合，切实提高学生就业竞争力，为大学生顺利就业、适应社会及树立创业意识提供必要的指导。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3" w:type="dxa"/>
            <w:vAlign w:val="center"/>
          </w:tcPr>
          <w:p>
            <w:pPr>
              <w:jc w:val="center"/>
              <w:rPr>
                <w:rFonts w:ascii="仿宋" w:hAnsi="仿宋" w:eastAsia="仿宋" w:cs="仿宋"/>
                <w:szCs w:val="21"/>
              </w:rPr>
            </w:pPr>
            <w:r>
              <w:rPr>
                <w:rFonts w:hint="eastAsia" w:ascii="仿宋" w:hAnsi="仿宋" w:eastAsia="仿宋" w:cs="仿宋"/>
              </w:rPr>
              <w:t>A031113</w:t>
            </w:r>
          </w:p>
        </w:tc>
        <w:tc>
          <w:tcPr>
            <w:tcW w:w="635" w:type="dxa"/>
            <w:vMerge w:val="continue"/>
            <w:vAlign w:val="center"/>
          </w:tcPr>
          <w:p>
            <w:pPr>
              <w:rPr>
                <w:rFonts w:ascii="仿宋" w:hAnsi="仿宋" w:eastAsia="仿宋" w:cs="仿宋"/>
                <w:szCs w:val="21"/>
              </w:rPr>
            </w:pPr>
          </w:p>
        </w:tc>
        <w:tc>
          <w:tcPr>
            <w:tcW w:w="749" w:type="dxa"/>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创新创业教育</w:t>
            </w:r>
          </w:p>
        </w:tc>
        <w:tc>
          <w:tcPr>
            <w:tcW w:w="2822"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使学生掌握开展创新创业活动所需的基本知识，认识创新创业的基本内涵和创业活动的特殊性，辩证认识和分析创业机会、创业项目。同时，使学生具备必要的创新意识和创业能力，树立科学的创新创业观念。自觉遵循创业规律，积极参与创业实践。</w:t>
            </w:r>
          </w:p>
        </w:tc>
        <w:tc>
          <w:tcPr>
            <w:tcW w:w="2380"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介绍创新与创业方法论；以对各行各业创业者的成功案例剖析为主，尤其是对优秀的创新创业企业案例的剖析。从创新与创业的概念讲起，引出创业意识与创新精神、创业者特质与创业素质研究、市场与创业机会，逐步深入的讲解创业管理、创业计划与资源整合。最后引导学生积极参加 “大学生创新创业训练计划”项目，为学生介绍创新与创业的最新知识。</w:t>
            </w:r>
          </w:p>
        </w:tc>
        <w:tc>
          <w:tcPr>
            <w:tcW w:w="2165" w:type="dxa"/>
            <w:vAlign w:val="center"/>
          </w:tcPr>
          <w:p>
            <w:pPr>
              <w:rPr>
                <w:rFonts w:ascii="仿宋" w:hAnsi="仿宋" w:eastAsia="仿宋" w:cs="仿宋"/>
                <w:color w:val="000000"/>
                <w:sz w:val="18"/>
                <w:szCs w:val="18"/>
              </w:rPr>
            </w:pPr>
            <w:r>
              <w:rPr>
                <w:rFonts w:hint="eastAsia" w:ascii="仿宋" w:hAnsi="仿宋" w:eastAsia="仿宋" w:cs="仿宋"/>
                <w:color w:val="000000"/>
                <w:sz w:val="18"/>
                <w:szCs w:val="18"/>
              </w:rPr>
              <w:t>本课程采用课堂教学与课外训练相结合的方式，主要采取案例分析、情景模拟、小组讨论、师生互动、角色扮演、社会调查和第二课堂比赛等方法充分调动学生积极性，促进创新创业教学指导。</w:t>
            </w:r>
          </w:p>
        </w:tc>
      </w:tr>
    </w:tbl>
    <w:p>
      <w:pPr>
        <w:rPr>
          <w:rFonts w:ascii="仿宋" w:hAnsi="仿宋" w:eastAsia="仿宋" w:cs="仿宋"/>
        </w:rPr>
      </w:pPr>
    </w:p>
    <w:p>
      <w:pPr>
        <w:ind w:firstLine="422" w:firstLineChars="200"/>
        <w:rPr>
          <w:rFonts w:ascii="仿宋" w:hAnsi="仿宋" w:eastAsia="仿宋" w:cs="仿宋"/>
          <w:b/>
          <w:szCs w:val="21"/>
        </w:rPr>
      </w:pPr>
    </w:p>
    <w:p>
      <w:pPr>
        <w:ind w:firstLine="422" w:firstLineChars="200"/>
        <w:rPr>
          <w:rFonts w:ascii="仿宋" w:hAnsi="仿宋" w:eastAsia="仿宋" w:cs="仿宋"/>
          <w:b/>
          <w:szCs w:val="21"/>
        </w:rPr>
      </w:pPr>
      <w:r>
        <w:rPr>
          <w:rFonts w:hint="eastAsia" w:ascii="仿宋" w:hAnsi="仿宋" w:eastAsia="仿宋" w:cs="仿宋"/>
          <w:b/>
          <w:szCs w:val="21"/>
        </w:rPr>
        <w:t>（二）专业（技能）课程</w:t>
      </w:r>
    </w:p>
    <w:tbl>
      <w:tblPr>
        <w:tblStyle w:val="16"/>
        <w:tblpPr w:leftFromText="180" w:rightFromText="180" w:vertAnchor="text" w:horzAnchor="page" w:tblpX="1141" w:tblpY="34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698"/>
        <w:gridCol w:w="1405"/>
        <w:gridCol w:w="2509"/>
        <w:gridCol w:w="236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序号</w:t>
            </w:r>
          </w:p>
        </w:tc>
        <w:tc>
          <w:tcPr>
            <w:tcW w:w="698" w:type="dxa"/>
            <w:shd w:val="clear" w:color="auto" w:fill="auto"/>
          </w:tcPr>
          <w:p>
            <w:pPr>
              <w:jc w:val="center"/>
              <w:rPr>
                <w:rFonts w:ascii="仿宋" w:hAnsi="仿宋" w:eastAsia="仿宋" w:cs="仿宋"/>
                <w:sz w:val="18"/>
                <w:szCs w:val="18"/>
              </w:rPr>
            </w:pPr>
            <w:r>
              <w:rPr>
                <w:rFonts w:hint="eastAsia" w:ascii="仿宋" w:hAnsi="仿宋" w:eastAsia="仿宋" w:cs="仿宋"/>
                <w:sz w:val="18"/>
                <w:szCs w:val="18"/>
              </w:rPr>
              <w:t>课程类型</w:t>
            </w: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课程名称</w:t>
            </w:r>
          </w:p>
        </w:tc>
        <w:tc>
          <w:tcPr>
            <w:tcW w:w="2509"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课程目标</w:t>
            </w:r>
          </w:p>
        </w:tc>
        <w:tc>
          <w:tcPr>
            <w:tcW w:w="2369"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主要内容</w:t>
            </w:r>
          </w:p>
        </w:tc>
        <w:tc>
          <w:tcPr>
            <w:tcW w:w="2320"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1</w:t>
            </w:r>
          </w:p>
        </w:tc>
        <w:tc>
          <w:tcPr>
            <w:tcW w:w="698" w:type="dxa"/>
            <w:vMerge w:val="restart"/>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专业必修</w:t>
            </w:r>
          </w:p>
        </w:tc>
        <w:tc>
          <w:tcPr>
            <w:tcW w:w="1405" w:type="dxa"/>
            <w:shd w:val="clear" w:color="auto" w:fill="auto"/>
            <w:vAlign w:val="center"/>
          </w:tcPr>
          <w:p>
            <w:pPr>
              <w:jc w:val="center"/>
              <w:rPr>
                <w:rFonts w:ascii="仿宋" w:hAnsi="仿宋" w:eastAsia="仿宋" w:cs="仿宋"/>
                <w:color w:val="000000"/>
                <w:w w:val="66"/>
                <w:sz w:val="18"/>
                <w:szCs w:val="18"/>
              </w:rPr>
            </w:pPr>
            <w:r>
              <w:rPr>
                <w:rFonts w:hint="eastAsia" w:ascii="仿宋" w:hAnsi="仿宋" w:eastAsia="仿宋" w:cs="仿宋"/>
                <w:sz w:val="18"/>
                <w:szCs w:val="18"/>
              </w:rPr>
              <w:t>基础乐理</w:t>
            </w:r>
          </w:p>
        </w:tc>
        <w:tc>
          <w:tcPr>
            <w:tcW w:w="250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（1）认识和理解与音乐相关的基础理论知识,使学生掌握基础的音乐理论,丰富、拓宽学生的音乐视野及知识面,提高自身的理论修养。</w:t>
            </w:r>
          </w:p>
          <w:p>
            <w:pPr>
              <w:rPr>
                <w:rFonts w:ascii="仿宋" w:hAnsi="仿宋" w:eastAsia="仿宋" w:cs="仿宋"/>
                <w:sz w:val="18"/>
                <w:szCs w:val="18"/>
              </w:rPr>
            </w:pPr>
            <w:r>
              <w:rPr>
                <w:rFonts w:hint="eastAsia" w:ascii="仿宋" w:hAnsi="仿宋" w:eastAsia="仿宋" w:cs="仿宋"/>
                <w:sz w:val="18"/>
                <w:szCs w:val="18"/>
              </w:rPr>
              <w:t>(2)通过本学科教学,使学生掌握音乐语言要素和音乐表现手段的基本知识。</w:t>
            </w: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（1）音高与记谱</w:t>
            </w:r>
          </w:p>
          <w:p>
            <w:pPr>
              <w:rPr>
                <w:rFonts w:ascii="仿宋" w:hAnsi="仿宋" w:eastAsia="仿宋" w:cs="仿宋"/>
                <w:sz w:val="18"/>
                <w:szCs w:val="18"/>
              </w:rPr>
            </w:pPr>
            <w:r>
              <w:rPr>
                <w:rFonts w:hint="eastAsia" w:ascii="仿宋" w:hAnsi="仿宋" w:eastAsia="仿宋" w:cs="仿宋"/>
                <w:sz w:val="18"/>
                <w:szCs w:val="18"/>
              </w:rPr>
              <w:t>（2）节奏与节拍</w:t>
            </w:r>
          </w:p>
          <w:p>
            <w:pPr>
              <w:rPr>
                <w:rFonts w:ascii="仿宋" w:hAnsi="仿宋" w:eastAsia="仿宋" w:cs="仿宋"/>
                <w:sz w:val="18"/>
                <w:szCs w:val="18"/>
              </w:rPr>
            </w:pPr>
            <w:r>
              <w:rPr>
                <w:rFonts w:hint="eastAsia" w:ascii="仿宋" w:hAnsi="仿宋" w:eastAsia="仿宋" w:cs="仿宋"/>
                <w:sz w:val="18"/>
                <w:szCs w:val="18"/>
              </w:rPr>
              <w:t>（3）音乐的速度、力度、装饰音记号</w:t>
            </w:r>
          </w:p>
          <w:p>
            <w:pPr>
              <w:rPr>
                <w:rFonts w:ascii="仿宋" w:hAnsi="仿宋" w:eastAsia="仿宋" w:cs="仿宋"/>
                <w:sz w:val="18"/>
                <w:szCs w:val="18"/>
              </w:rPr>
            </w:pPr>
            <w:r>
              <w:rPr>
                <w:rFonts w:hint="eastAsia" w:ascii="仿宋" w:hAnsi="仿宋" w:eastAsia="仿宋" w:cs="仿宋"/>
                <w:sz w:val="18"/>
                <w:szCs w:val="18"/>
              </w:rPr>
              <w:t>（4）音程与和弦</w:t>
            </w:r>
          </w:p>
          <w:p>
            <w:pPr>
              <w:rPr>
                <w:rFonts w:ascii="仿宋" w:hAnsi="仿宋" w:eastAsia="仿宋" w:cs="仿宋"/>
                <w:sz w:val="18"/>
                <w:szCs w:val="18"/>
              </w:rPr>
            </w:pPr>
            <w:r>
              <w:rPr>
                <w:rFonts w:hint="eastAsia" w:ascii="仿宋" w:hAnsi="仿宋" w:eastAsia="仿宋" w:cs="仿宋"/>
                <w:sz w:val="18"/>
                <w:szCs w:val="18"/>
              </w:rPr>
              <w:t>（5）西方大小调及民族调式</w:t>
            </w:r>
          </w:p>
          <w:p>
            <w:pPr>
              <w:jc w:val="left"/>
              <w:rPr>
                <w:rFonts w:ascii="仿宋" w:hAnsi="仿宋" w:eastAsia="仿宋" w:cs="仿宋"/>
                <w:sz w:val="18"/>
                <w:szCs w:val="18"/>
              </w:rPr>
            </w:pP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采用课堂讲解、教师示范、小组演练等教学形式，提升学生对</w:t>
            </w:r>
            <w:r>
              <w:rPr>
                <w:rFonts w:hint="eastAsia" w:ascii="仿宋" w:hAnsi="仿宋" w:eastAsia="仿宋" w:cs="仿宋"/>
                <w:color w:val="000000"/>
                <w:sz w:val="18"/>
                <w:szCs w:val="18"/>
              </w:rPr>
              <w:t>乐理基础知识的掌握，注重知识的可操作性与实践性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2</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声乐</w:t>
            </w:r>
          </w:p>
        </w:tc>
        <w:tc>
          <w:tcPr>
            <w:tcW w:w="2509" w:type="dxa"/>
            <w:shd w:val="clear" w:color="auto" w:fill="auto"/>
            <w:vAlign w:val="center"/>
          </w:tcPr>
          <w:p>
            <w:pPr>
              <w:ind w:firstLine="360" w:firstLineChars="200"/>
              <w:rPr>
                <w:rFonts w:ascii="仿宋" w:hAnsi="仿宋" w:eastAsia="仿宋" w:cs="仿宋"/>
                <w:sz w:val="18"/>
                <w:szCs w:val="18"/>
              </w:rPr>
            </w:pPr>
            <w:r>
              <w:rPr>
                <w:rFonts w:hint="eastAsia" w:ascii="仿宋" w:hAnsi="仿宋" w:eastAsia="仿宋" w:cs="仿宋"/>
                <w:sz w:val="18"/>
                <w:szCs w:val="18"/>
              </w:rPr>
              <w:t>要求学生掌握声乐基础理论知识和技能、技巧，能分析处理一般声乐作品，有一定的范唱能力。能胜任中小学音乐课的歌唱教学和课外声乐活动的辅导工作。</w:t>
            </w:r>
          </w:p>
          <w:p>
            <w:pPr>
              <w:jc w:val="left"/>
              <w:rPr>
                <w:rFonts w:ascii="仿宋" w:hAnsi="仿宋" w:eastAsia="仿宋" w:cs="仿宋"/>
                <w:sz w:val="18"/>
                <w:szCs w:val="18"/>
              </w:rPr>
            </w:pP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（1）要求歌唱时姿势正确，心理状态积极，逐渐适应声乐课的教学形式。</w:t>
            </w:r>
          </w:p>
          <w:p>
            <w:pPr>
              <w:rPr>
                <w:rFonts w:ascii="仿宋" w:hAnsi="仿宋" w:eastAsia="仿宋" w:cs="仿宋"/>
                <w:sz w:val="18"/>
                <w:szCs w:val="18"/>
              </w:rPr>
            </w:pPr>
            <w:r>
              <w:rPr>
                <w:rFonts w:hint="eastAsia" w:ascii="仿宋" w:hAnsi="仿宋" w:eastAsia="仿宋" w:cs="仿宋"/>
                <w:sz w:val="18"/>
                <w:szCs w:val="18"/>
              </w:rPr>
              <w:t>（2）以自然声区为基础，着重中声区的训练，力求做到喉头稳定，发声自然、流畅。音准、节奏正确，吐字清楚。</w:t>
            </w:r>
          </w:p>
          <w:p>
            <w:pPr>
              <w:rPr>
                <w:rFonts w:ascii="仿宋" w:hAnsi="仿宋" w:eastAsia="仿宋" w:cs="仿宋"/>
                <w:sz w:val="18"/>
                <w:szCs w:val="18"/>
              </w:rPr>
            </w:pPr>
            <w:r>
              <w:rPr>
                <w:rFonts w:hint="eastAsia" w:ascii="仿宋" w:hAnsi="仿宋" w:eastAsia="仿宋" w:cs="仿宋"/>
                <w:sz w:val="18"/>
                <w:szCs w:val="18"/>
              </w:rPr>
              <w:t>（3）强调对自己所发出声音的听觉训练，逐步培养辨别声音正误的能力，做到</w:t>
            </w:r>
            <w:r>
              <w:rPr>
                <w:rFonts w:hint="eastAsia" w:ascii="仿宋" w:hAnsi="仿宋" w:eastAsia="仿宋" w:cs="仿宋"/>
                <w:kern w:val="0"/>
                <w:sz w:val="18"/>
                <w:szCs w:val="18"/>
              </w:rPr>
              <w:t>声区统一，声音连贯、流畅、圆润、扎实。</w:t>
            </w:r>
          </w:p>
          <w:p>
            <w:pPr>
              <w:jc w:val="left"/>
              <w:rPr>
                <w:rFonts w:ascii="仿宋" w:hAnsi="仿宋" w:eastAsia="仿宋" w:cs="仿宋"/>
                <w:sz w:val="18"/>
                <w:szCs w:val="18"/>
              </w:rPr>
            </w:pPr>
          </w:p>
        </w:tc>
        <w:tc>
          <w:tcPr>
            <w:tcW w:w="2320" w:type="dxa"/>
            <w:shd w:val="clear" w:color="auto" w:fill="auto"/>
            <w:vAlign w:val="center"/>
          </w:tcPr>
          <w:p>
            <w:pPr>
              <w:ind w:firstLine="270" w:firstLineChars="150"/>
              <w:rPr>
                <w:rFonts w:ascii="仿宋" w:hAnsi="仿宋" w:eastAsia="仿宋" w:cs="仿宋"/>
                <w:sz w:val="18"/>
                <w:szCs w:val="18"/>
              </w:rPr>
            </w:pPr>
            <w:r>
              <w:rPr>
                <w:rFonts w:hint="eastAsia" w:ascii="仿宋" w:hAnsi="仿宋" w:eastAsia="仿宋" w:cs="仿宋"/>
                <w:sz w:val="18"/>
                <w:szCs w:val="18"/>
              </w:rPr>
              <w:t>采用个别课和集体授课相结合的形式，充分发挥老师的主导作用，重视启发式教学，在进行技术训练的同时，注意学生的心理活动。培养学生良好的歌唱习惯和正确的声乐鉴别能力，使学生的综合素质得到全面发展。</w:t>
            </w:r>
          </w:p>
          <w:p>
            <w:pPr>
              <w:jc w:val="left"/>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3</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钢琴</w:t>
            </w:r>
          </w:p>
        </w:tc>
        <w:tc>
          <w:tcPr>
            <w:tcW w:w="250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通过本门课程的学习，让学生掌握钢琴最常用的演奏方法和技巧，积累一定的感性认识和实际操作能力，培养学生从事基础音乐教育工作所应具备的钢琴演奏技能,音乐表达能力。</w:t>
            </w:r>
          </w:p>
          <w:p>
            <w:pPr>
              <w:jc w:val="left"/>
              <w:rPr>
                <w:rFonts w:ascii="仿宋" w:hAnsi="仿宋" w:eastAsia="仿宋" w:cs="仿宋"/>
                <w:sz w:val="18"/>
                <w:szCs w:val="18"/>
              </w:rPr>
            </w:pPr>
          </w:p>
        </w:tc>
        <w:tc>
          <w:tcPr>
            <w:tcW w:w="2369" w:type="dxa"/>
            <w:shd w:val="clear" w:color="auto" w:fill="auto"/>
            <w:vAlign w:val="center"/>
          </w:tcPr>
          <w:p>
            <w:pPr>
              <w:numPr>
                <w:ilvl w:val="0"/>
                <w:numId w:val="2"/>
              </w:numPr>
              <w:jc w:val="left"/>
              <w:rPr>
                <w:rFonts w:ascii="仿宋" w:hAnsi="仿宋" w:eastAsia="仿宋" w:cs="仿宋"/>
                <w:sz w:val="18"/>
                <w:szCs w:val="18"/>
              </w:rPr>
            </w:pPr>
            <w:r>
              <w:rPr>
                <w:rFonts w:hint="eastAsia" w:ascii="仿宋" w:hAnsi="仿宋" w:eastAsia="仿宋" w:cs="仿宋"/>
                <w:sz w:val="18"/>
                <w:szCs w:val="18"/>
              </w:rPr>
              <w:t>快速音阶练习</w:t>
            </w:r>
          </w:p>
          <w:p>
            <w:pPr>
              <w:numPr>
                <w:ilvl w:val="0"/>
                <w:numId w:val="2"/>
              </w:numPr>
              <w:jc w:val="left"/>
              <w:rPr>
                <w:rFonts w:ascii="仿宋" w:hAnsi="仿宋" w:eastAsia="仿宋" w:cs="仿宋"/>
                <w:sz w:val="18"/>
                <w:szCs w:val="18"/>
              </w:rPr>
            </w:pPr>
            <w:r>
              <w:rPr>
                <w:rFonts w:hint="eastAsia" w:ascii="仿宋" w:hAnsi="仿宋" w:eastAsia="仿宋" w:cs="仿宋"/>
                <w:sz w:val="18"/>
                <w:szCs w:val="18"/>
              </w:rPr>
              <w:t>分解和弦琶音练习</w:t>
            </w:r>
          </w:p>
          <w:p>
            <w:pPr>
              <w:numPr>
                <w:ilvl w:val="0"/>
                <w:numId w:val="2"/>
              </w:numPr>
              <w:jc w:val="left"/>
              <w:rPr>
                <w:rFonts w:ascii="仿宋" w:hAnsi="仿宋" w:eastAsia="仿宋" w:cs="仿宋"/>
                <w:sz w:val="18"/>
                <w:szCs w:val="18"/>
              </w:rPr>
            </w:pPr>
            <w:r>
              <w:rPr>
                <w:rFonts w:hint="eastAsia" w:ascii="仿宋" w:hAnsi="仿宋" w:eastAsia="仿宋" w:cs="仿宋"/>
                <w:sz w:val="18"/>
                <w:szCs w:val="18"/>
              </w:rPr>
              <w:t>和弦练习</w:t>
            </w:r>
          </w:p>
          <w:p>
            <w:pPr>
              <w:numPr>
                <w:ilvl w:val="0"/>
                <w:numId w:val="2"/>
              </w:numPr>
              <w:jc w:val="left"/>
              <w:rPr>
                <w:rFonts w:ascii="仿宋" w:hAnsi="仿宋" w:eastAsia="仿宋" w:cs="仿宋"/>
                <w:sz w:val="18"/>
                <w:szCs w:val="18"/>
              </w:rPr>
            </w:pPr>
            <w:r>
              <w:rPr>
                <w:rFonts w:hint="eastAsia" w:ascii="仿宋" w:hAnsi="仿宋" w:eastAsia="仿宋" w:cs="仿宋"/>
                <w:sz w:val="18"/>
                <w:szCs w:val="18"/>
              </w:rPr>
              <w:t>常用音型练习</w:t>
            </w:r>
          </w:p>
          <w:p>
            <w:pPr>
              <w:numPr>
                <w:ilvl w:val="0"/>
                <w:numId w:val="2"/>
              </w:numPr>
              <w:jc w:val="left"/>
              <w:rPr>
                <w:rFonts w:ascii="仿宋" w:hAnsi="仿宋" w:eastAsia="仿宋" w:cs="仿宋"/>
                <w:sz w:val="18"/>
                <w:szCs w:val="18"/>
              </w:rPr>
            </w:pPr>
            <w:r>
              <w:rPr>
                <w:rFonts w:hint="eastAsia" w:ascii="仿宋" w:hAnsi="仿宋" w:eastAsia="仿宋" w:cs="仿宋"/>
                <w:sz w:val="18"/>
                <w:szCs w:val="18"/>
              </w:rPr>
              <w:t>二声部复调练习（6）练习曲练习</w:t>
            </w:r>
          </w:p>
          <w:p>
            <w:pPr>
              <w:jc w:val="left"/>
              <w:rPr>
                <w:rFonts w:ascii="仿宋" w:hAnsi="仿宋" w:eastAsia="仿宋" w:cs="仿宋"/>
                <w:sz w:val="18"/>
                <w:szCs w:val="18"/>
              </w:rPr>
            </w:pPr>
            <w:r>
              <w:rPr>
                <w:rFonts w:hint="eastAsia" w:ascii="仿宋" w:hAnsi="仿宋" w:eastAsia="仿宋" w:cs="仿宋"/>
                <w:sz w:val="18"/>
                <w:szCs w:val="18"/>
              </w:rPr>
              <w:t>（8）不同风格中外作品</w:t>
            </w:r>
          </w:p>
          <w:p>
            <w:pPr>
              <w:jc w:val="left"/>
              <w:rPr>
                <w:rFonts w:ascii="仿宋" w:hAnsi="仿宋" w:eastAsia="仿宋" w:cs="仿宋"/>
                <w:sz w:val="18"/>
                <w:szCs w:val="18"/>
              </w:rPr>
            </w:pP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color w:val="000000"/>
                <w:sz w:val="18"/>
                <w:szCs w:val="18"/>
              </w:rPr>
              <w:t>采用讲授法、示范法、口传身授法、情境教学法等，激发学生的学校兴趣，积极发挥学生的主体作用，让学生积极参与到教学活动中，引导学生勤于思考，勤于探索，提出问题并能积极地解决问题。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4</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视唱练耳</w:t>
            </w:r>
          </w:p>
        </w:tc>
        <w:tc>
          <w:tcPr>
            <w:tcW w:w="2509" w:type="dxa"/>
            <w:shd w:val="clear" w:color="auto" w:fill="auto"/>
            <w:vAlign w:val="center"/>
          </w:tcPr>
          <w:p>
            <w:pPr>
              <w:tabs>
                <w:tab w:val="left" w:pos="0"/>
              </w:tabs>
              <w:autoSpaceDE w:val="0"/>
              <w:autoSpaceDN w:val="0"/>
              <w:adjustRightInd w:val="0"/>
              <w:rPr>
                <w:rFonts w:ascii="仿宋" w:hAnsi="仿宋" w:eastAsia="仿宋" w:cs="仿宋"/>
                <w:kern w:val="0"/>
                <w:sz w:val="18"/>
                <w:szCs w:val="18"/>
                <w:lang w:val="zh-CN"/>
              </w:rPr>
            </w:pPr>
            <w:r>
              <w:rPr>
                <w:rFonts w:hint="eastAsia" w:ascii="仿宋" w:hAnsi="仿宋" w:eastAsia="仿宋" w:cs="仿宋"/>
                <w:kern w:val="0"/>
                <w:sz w:val="18"/>
                <w:szCs w:val="18"/>
                <w:lang w:val="zh-CN"/>
              </w:rPr>
              <w:t>培养学生对音乐的感知、听辨、记忆、识谱和视唱的能力；初步理解音乐各要素在音乐表现中的作用，掌握音乐表现常规，积累音乐语言；加强其它学科的横向联系，全面提高学生的音乐素质，培养和发展音乐审美能力；初步掌握视唱练耳的教学方法。</w:t>
            </w:r>
          </w:p>
          <w:p>
            <w:pPr>
              <w:jc w:val="left"/>
              <w:rPr>
                <w:rFonts w:ascii="仿宋" w:hAnsi="仿宋" w:eastAsia="仿宋" w:cs="仿宋"/>
                <w:sz w:val="18"/>
                <w:szCs w:val="18"/>
              </w:rPr>
            </w:pP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（1）识谱、无升降号的自然大小调和其他调式音程、基本音符、休止符和节拍</w:t>
            </w:r>
            <w:r>
              <w:rPr>
                <w:rFonts w:hint="eastAsia" w:ascii="仿宋" w:hAnsi="仿宋" w:eastAsia="仿宋" w:cs="仿宋"/>
                <w:color w:val="000000"/>
                <w:sz w:val="18"/>
                <w:szCs w:val="18"/>
              </w:rPr>
              <w:br w:type="textWrapping"/>
            </w:r>
            <w:r>
              <w:rPr>
                <w:rFonts w:hint="eastAsia" w:ascii="仿宋" w:hAnsi="仿宋" w:eastAsia="仿宋" w:cs="仿宋"/>
                <w:color w:val="000000"/>
                <w:sz w:val="18"/>
                <w:szCs w:val="18"/>
              </w:rPr>
              <w:t>（2）</w:t>
            </w:r>
            <w:r>
              <w:rPr>
                <w:rFonts w:hint="eastAsia" w:ascii="仿宋" w:hAnsi="仿宋" w:eastAsia="仿宋" w:cs="仿宋"/>
                <w:sz w:val="18"/>
                <w:szCs w:val="18"/>
              </w:rPr>
              <w:t>一个升号的大小调及五声调式</w:t>
            </w:r>
          </w:p>
          <w:p>
            <w:pPr>
              <w:jc w:val="left"/>
              <w:rPr>
                <w:rFonts w:ascii="仿宋" w:hAnsi="仿宋" w:eastAsia="仿宋" w:cs="仿宋"/>
                <w:sz w:val="18"/>
                <w:szCs w:val="18"/>
              </w:rPr>
            </w:pPr>
            <w:r>
              <w:rPr>
                <w:rFonts w:hint="eastAsia" w:ascii="仿宋" w:hAnsi="仿宋" w:eastAsia="仿宋" w:cs="仿宋"/>
                <w:sz w:val="18"/>
                <w:szCs w:val="18"/>
              </w:rPr>
              <w:t>（3）一个降号的大小调及五声调式</w:t>
            </w:r>
          </w:p>
          <w:p>
            <w:pPr>
              <w:jc w:val="left"/>
              <w:rPr>
                <w:rFonts w:ascii="仿宋" w:hAnsi="仿宋" w:eastAsia="仿宋" w:cs="仿宋"/>
                <w:sz w:val="18"/>
                <w:szCs w:val="18"/>
              </w:rPr>
            </w:pPr>
            <w:r>
              <w:rPr>
                <w:rFonts w:hint="eastAsia" w:ascii="仿宋" w:hAnsi="仿宋" w:eastAsia="仿宋" w:cs="仿宋"/>
                <w:sz w:val="18"/>
                <w:szCs w:val="18"/>
              </w:rPr>
              <w:t>（4）两个升号的大小调及五声调式</w:t>
            </w:r>
          </w:p>
          <w:p>
            <w:pPr>
              <w:jc w:val="left"/>
              <w:rPr>
                <w:rFonts w:ascii="仿宋" w:hAnsi="仿宋" w:eastAsia="仿宋" w:cs="仿宋"/>
                <w:sz w:val="18"/>
                <w:szCs w:val="18"/>
              </w:rPr>
            </w:pPr>
            <w:r>
              <w:rPr>
                <w:rFonts w:hint="eastAsia" w:ascii="仿宋" w:hAnsi="仿宋" w:eastAsia="仿宋" w:cs="仿宋"/>
                <w:sz w:val="18"/>
                <w:szCs w:val="18"/>
              </w:rPr>
              <w:t>（5）两个降号的大小调及五声调式</w:t>
            </w:r>
          </w:p>
        </w:tc>
        <w:tc>
          <w:tcPr>
            <w:tcW w:w="2320" w:type="dxa"/>
            <w:shd w:val="clear" w:color="auto" w:fill="auto"/>
            <w:vAlign w:val="center"/>
          </w:tcPr>
          <w:p>
            <w:pPr>
              <w:jc w:val="left"/>
              <w:rPr>
                <w:rFonts w:ascii="仿宋" w:hAnsi="仿宋" w:eastAsia="仿宋" w:cs="仿宋"/>
                <w:color w:val="000000"/>
                <w:sz w:val="18"/>
                <w:szCs w:val="18"/>
              </w:rPr>
            </w:pPr>
            <w:r>
              <w:rPr>
                <w:rFonts w:hint="eastAsia" w:ascii="仿宋" w:hAnsi="仿宋" w:eastAsia="仿宋" w:cs="仿宋"/>
                <w:sz w:val="18"/>
                <w:szCs w:val="18"/>
              </w:rPr>
              <w:t>采用课堂讲解、教师示范、小组演练等教学形式，提升学生对</w:t>
            </w:r>
            <w:r>
              <w:rPr>
                <w:rFonts w:hint="eastAsia" w:ascii="仿宋" w:hAnsi="仿宋" w:eastAsia="仿宋" w:cs="仿宋"/>
                <w:color w:val="000000"/>
                <w:sz w:val="18"/>
                <w:szCs w:val="18"/>
              </w:rPr>
              <w:t>乐理基础知识的掌握，注重知识的可操作性与实践性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5</w:t>
            </w:r>
          </w:p>
        </w:tc>
        <w:tc>
          <w:tcPr>
            <w:tcW w:w="698" w:type="dxa"/>
            <w:vMerge w:val="restart"/>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中国音乐史</w:t>
            </w:r>
          </w:p>
        </w:tc>
        <w:tc>
          <w:tcPr>
            <w:tcW w:w="2509" w:type="dxa"/>
            <w:shd w:val="clear" w:color="auto" w:fill="auto"/>
            <w:vAlign w:val="center"/>
          </w:tcPr>
          <w:p>
            <w:pPr>
              <w:pStyle w:val="98"/>
              <w:tabs>
                <w:tab w:val="left" w:pos="1680"/>
              </w:tabs>
              <w:ind w:firstLine="0" w:firstLineChars="0"/>
              <w:rPr>
                <w:rFonts w:ascii="仿宋" w:hAnsi="仿宋" w:eastAsia="仿宋" w:cs="仿宋"/>
                <w:sz w:val="18"/>
                <w:szCs w:val="18"/>
              </w:rPr>
            </w:pPr>
            <w:r>
              <w:rPr>
                <w:rFonts w:hint="eastAsia" w:ascii="仿宋" w:hAnsi="仿宋" w:eastAsia="仿宋" w:cs="仿宋"/>
                <w:sz w:val="18"/>
                <w:szCs w:val="18"/>
              </w:rPr>
              <w:t>能系统地掌握中国各个历史时期音乐发展的脉络，理解音乐体裁、音乐作品、音乐风格、乐器器乐、音乐家及流派的产生与发展。</w:t>
            </w:r>
          </w:p>
          <w:p>
            <w:pPr>
              <w:jc w:val="left"/>
              <w:rPr>
                <w:rFonts w:ascii="仿宋" w:hAnsi="仿宋" w:eastAsia="仿宋" w:cs="仿宋"/>
                <w:sz w:val="18"/>
                <w:szCs w:val="18"/>
              </w:rPr>
            </w:pPr>
          </w:p>
        </w:tc>
        <w:tc>
          <w:tcPr>
            <w:tcW w:w="2369" w:type="dxa"/>
            <w:shd w:val="clear" w:color="auto" w:fill="auto"/>
            <w:vAlign w:val="center"/>
          </w:tcPr>
          <w:p>
            <w:pPr>
              <w:numPr>
                <w:ilvl w:val="0"/>
                <w:numId w:val="3"/>
              </w:numPr>
              <w:jc w:val="left"/>
              <w:rPr>
                <w:rFonts w:ascii="仿宋" w:hAnsi="仿宋" w:eastAsia="仿宋" w:cs="仿宋"/>
                <w:sz w:val="18"/>
                <w:szCs w:val="18"/>
              </w:rPr>
            </w:pPr>
            <w:r>
              <w:rPr>
                <w:rFonts w:hint="eastAsia" w:ascii="仿宋" w:hAnsi="仿宋" w:eastAsia="仿宋" w:cs="仿宋"/>
                <w:sz w:val="18"/>
                <w:szCs w:val="18"/>
              </w:rPr>
              <w:t>远古、夏、商时期的音乐（约8000年前—公元前11世纪）</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西周、春秋、战国时期的音乐秦、汉、魏、晋、南北朝时期的音乐</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隋、唐、五代时期的音乐</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宋、元时期的音乐</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明、清时期的音乐</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中华民国时期的音乐</w:t>
            </w:r>
          </w:p>
          <w:p>
            <w:pPr>
              <w:numPr>
                <w:ilvl w:val="0"/>
                <w:numId w:val="3"/>
              </w:numPr>
              <w:jc w:val="left"/>
              <w:rPr>
                <w:rFonts w:ascii="仿宋" w:hAnsi="仿宋" w:eastAsia="仿宋" w:cs="仿宋"/>
                <w:sz w:val="18"/>
                <w:szCs w:val="18"/>
              </w:rPr>
            </w:pPr>
            <w:r>
              <w:rPr>
                <w:rFonts w:hint="eastAsia" w:ascii="仿宋" w:hAnsi="仿宋" w:eastAsia="仿宋" w:cs="仿宋"/>
                <w:sz w:val="18"/>
                <w:szCs w:val="18"/>
              </w:rPr>
              <w:t>中华人民共和国时期音乐大记事</w:t>
            </w:r>
          </w:p>
        </w:tc>
        <w:tc>
          <w:tcPr>
            <w:tcW w:w="2320"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以讲授为主，结合音乐史料，运用多媒体技术开展教学活动，力求做到图文音响并茂。在授课过程中要充分调动学生的积极性，激发学生的创新思维，鼓励学生进行学术研究及相关的社会实践。</w:t>
            </w:r>
          </w:p>
          <w:p>
            <w:pP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6</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西方音乐史</w:t>
            </w:r>
          </w:p>
        </w:tc>
        <w:tc>
          <w:tcPr>
            <w:tcW w:w="2509" w:type="dxa"/>
            <w:shd w:val="clear" w:color="auto" w:fill="auto"/>
            <w:vAlign w:val="center"/>
          </w:tcPr>
          <w:p>
            <w:pPr>
              <w:pStyle w:val="98"/>
              <w:tabs>
                <w:tab w:val="left" w:pos="1680"/>
              </w:tabs>
              <w:ind w:firstLine="0" w:firstLineChars="0"/>
              <w:rPr>
                <w:rFonts w:ascii="仿宋" w:hAnsi="仿宋" w:eastAsia="仿宋" w:cs="仿宋"/>
                <w:sz w:val="18"/>
                <w:szCs w:val="18"/>
              </w:rPr>
            </w:pPr>
            <w:r>
              <w:rPr>
                <w:rFonts w:hint="eastAsia" w:ascii="仿宋" w:hAnsi="仿宋" w:eastAsia="仿宋" w:cs="仿宋"/>
                <w:sz w:val="18"/>
                <w:szCs w:val="18"/>
              </w:rPr>
              <w:t>系统地掌握西方各个历史时期音乐发展的脉络，理解音乐体裁、音乐作品、音乐风格、乐器器乐、音乐家及流派的产生与发展。</w:t>
            </w:r>
          </w:p>
          <w:p>
            <w:pPr>
              <w:jc w:val="left"/>
              <w:rPr>
                <w:rFonts w:ascii="仿宋" w:hAnsi="仿宋" w:eastAsia="仿宋" w:cs="仿宋"/>
                <w:sz w:val="18"/>
                <w:szCs w:val="18"/>
              </w:rPr>
            </w:pPr>
          </w:p>
        </w:tc>
        <w:tc>
          <w:tcPr>
            <w:tcW w:w="236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（1）古希腊、古罗马时期音乐</w:t>
            </w:r>
          </w:p>
          <w:p>
            <w:pPr>
              <w:jc w:val="left"/>
              <w:rPr>
                <w:rFonts w:ascii="仿宋" w:hAnsi="仿宋" w:eastAsia="仿宋" w:cs="仿宋"/>
                <w:sz w:val="18"/>
                <w:szCs w:val="18"/>
              </w:rPr>
            </w:pPr>
            <w:r>
              <w:rPr>
                <w:rFonts w:hint="eastAsia" w:ascii="仿宋" w:hAnsi="仿宋" w:eastAsia="仿宋" w:cs="仿宋"/>
                <w:sz w:val="18"/>
                <w:szCs w:val="18"/>
              </w:rPr>
              <w:t>（2）中世纪时期音乐</w:t>
            </w:r>
          </w:p>
          <w:p>
            <w:pPr>
              <w:jc w:val="left"/>
              <w:rPr>
                <w:rFonts w:ascii="仿宋" w:hAnsi="仿宋" w:eastAsia="仿宋" w:cs="仿宋"/>
                <w:sz w:val="18"/>
                <w:szCs w:val="18"/>
              </w:rPr>
            </w:pPr>
            <w:r>
              <w:rPr>
                <w:rFonts w:hint="eastAsia" w:ascii="仿宋" w:hAnsi="仿宋" w:eastAsia="仿宋" w:cs="仿宋"/>
                <w:sz w:val="18"/>
                <w:szCs w:val="18"/>
              </w:rPr>
              <w:t>（3）文艺复兴时期音乐</w:t>
            </w:r>
          </w:p>
          <w:p>
            <w:pPr>
              <w:jc w:val="left"/>
              <w:rPr>
                <w:rFonts w:ascii="仿宋" w:hAnsi="仿宋" w:eastAsia="仿宋" w:cs="仿宋"/>
                <w:sz w:val="18"/>
                <w:szCs w:val="18"/>
              </w:rPr>
            </w:pPr>
            <w:r>
              <w:rPr>
                <w:rFonts w:hint="eastAsia" w:ascii="仿宋" w:hAnsi="仿宋" w:eastAsia="仿宋" w:cs="仿宋"/>
                <w:sz w:val="18"/>
                <w:szCs w:val="18"/>
              </w:rPr>
              <w:t>（4）巴洛克时期音乐</w:t>
            </w:r>
          </w:p>
          <w:p>
            <w:pPr>
              <w:jc w:val="left"/>
              <w:rPr>
                <w:rFonts w:ascii="仿宋" w:hAnsi="仿宋" w:eastAsia="仿宋" w:cs="仿宋"/>
                <w:sz w:val="18"/>
                <w:szCs w:val="18"/>
              </w:rPr>
            </w:pPr>
            <w:r>
              <w:rPr>
                <w:rFonts w:hint="eastAsia" w:ascii="仿宋" w:hAnsi="仿宋" w:eastAsia="仿宋" w:cs="仿宋"/>
                <w:sz w:val="18"/>
                <w:szCs w:val="18"/>
              </w:rPr>
              <w:t>（5）古典主义时期音乐</w:t>
            </w:r>
          </w:p>
          <w:p>
            <w:pPr>
              <w:jc w:val="left"/>
              <w:rPr>
                <w:rFonts w:ascii="仿宋" w:hAnsi="仿宋" w:eastAsia="仿宋" w:cs="仿宋"/>
                <w:sz w:val="18"/>
                <w:szCs w:val="18"/>
              </w:rPr>
            </w:pPr>
            <w:r>
              <w:rPr>
                <w:rFonts w:hint="eastAsia" w:ascii="仿宋" w:hAnsi="仿宋" w:eastAsia="仿宋" w:cs="仿宋"/>
                <w:sz w:val="18"/>
                <w:szCs w:val="18"/>
              </w:rPr>
              <w:t>（6）浪漫主义时期音乐</w:t>
            </w:r>
          </w:p>
          <w:p>
            <w:pPr>
              <w:jc w:val="left"/>
              <w:rPr>
                <w:rFonts w:ascii="仿宋" w:hAnsi="仿宋" w:eastAsia="仿宋" w:cs="仿宋"/>
                <w:sz w:val="18"/>
                <w:szCs w:val="18"/>
              </w:rPr>
            </w:pPr>
            <w:r>
              <w:rPr>
                <w:rFonts w:hint="eastAsia" w:ascii="仿宋" w:hAnsi="仿宋" w:eastAsia="仿宋" w:cs="仿宋"/>
                <w:sz w:val="18"/>
                <w:szCs w:val="18"/>
              </w:rPr>
              <w:t>（7）20世纪西方音乐</w:t>
            </w:r>
          </w:p>
        </w:tc>
        <w:tc>
          <w:tcPr>
            <w:tcW w:w="2320"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以讲授为主，结合音乐史料，运用多媒体技术开展教学活动，力求做到图文音响并茂。在授课过程中要充分调动学生的积极性，激发学生的创新思维，鼓励学生进行学术研究及相关的社会实践。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7</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小学音乐教学法</w:t>
            </w:r>
          </w:p>
        </w:tc>
        <w:tc>
          <w:tcPr>
            <w:tcW w:w="2509" w:type="dxa"/>
            <w:shd w:val="clear" w:color="auto" w:fill="auto"/>
            <w:vAlign w:val="center"/>
          </w:tcPr>
          <w:p>
            <w:pPr>
              <w:autoSpaceDE w:val="0"/>
              <w:autoSpaceDN w:val="0"/>
              <w:adjustRightInd w:val="0"/>
              <w:jc w:val="left"/>
              <w:rPr>
                <w:rFonts w:ascii="仿宋" w:hAnsi="仿宋" w:eastAsia="仿宋" w:cs="仿宋"/>
                <w:sz w:val="18"/>
                <w:szCs w:val="18"/>
              </w:rPr>
            </w:pPr>
            <w:r>
              <w:rPr>
                <w:rFonts w:hint="eastAsia" w:ascii="仿宋" w:hAnsi="仿宋" w:eastAsia="仿宋" w:cs="仿宋"/>
                <w:sz w:val="18"/>
                <w:szCs w:val="18"/>
              </w:rPr>
              <w:t>能够掌握音乐学科最新的教学理念和先进的教学手法。学生通过实践实习全面提高音乐课堂教学能力与音乐活动编创能力，具备面向小学学生为教学对象的教学能力。</w:t>
            </w:r>
          </w:p>
          <w:p>
            <w:pPr>
              <w:jc w:val="left"/>
              <w:rPr>
                <w:rFonts w:ascii="仿宋" w:hAnsi="仿宋" w:eastAsia="仿宋" w:cs="仿宋"/>
                <w:sz w:val="18"/>
                <w:szCs w:val="18"/>
              </w:rPr>
            </w:pPr>
          </w:p>
        </w:tc>
        <w:tc>
          <w:tcPr>
            <w:tcW w:w="2369" w:type="dxa"/>
            <w:shd w:val="clear" w:color="auto" w:fill="auto"/>
            <w:vAlign w:val="center"/>
          </w:tcPr>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音乐教育的哲学基础</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音乐新课程的基本理念</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音乐教学的课程目标</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音乐教学的课程内容</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音乐教学设计</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音乐教学方法</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奥尔夫音乐教学法</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柯达伊音乐教学法</w:t>
            </w:r>
          </w:p>
          <w:p>
            <w:pPr>
              <w:numPr>
                <w:ilvl w:val="0"/>
                <w:numId w:val="4"/>
              </w:numPr>
              <w:jc w:val="left"/>
              <w:rPr>
                <w:rFonts w:ascii="仿宋" w:hAnsi="仿宋" w:eastAsia="仿宋" w:cs="仿宋"/>
                <w:sz w:val="18"/>
                <w:szCs w:val="18"/>
              </w:rPr>
            </w:pPr>
            <w:r>
              <w:rPr>
                <w:rFonts w:hint="eastAsia" w:ascii="仿宋" w:hAnsi="仿宋" w:eastAsia="仿宋" w:cs="仿宋"/>
                <w:sz w:val="18"/>
                <w:szCs w:val="18"/>
              </w:rPr>
              <w:t>达尔克罗兹体态律动学</w:t>
            </w:r>
          </w:p>
          <w:p>
            <w:pPr>
              <w:jc w:val="left"/>
              <w:rPr>
                <w:rFonts w:ascii="仿宋" w:hAnsi="仿宋" w:eastAsia="仿宋" w:cs="仿宋"/>
                <w:sz w:val="18"/>
                <w:szCs w:val="18"/>
              </w:rPr>
            </w:pPr>
          </w:p>
        </w:tc>
        <w:tc>
          <w:tcPr>
            <w:tcW w:w="2320" w:type="dxa"/>
            <w:shd w:val="clear" w:color="auto" w:fill="auto"/>
            <w:vAlign w:val="center"/>
          </w:tcPr>
          <w:p>
            <w:pPr>
              <w:ind w:firstLine="360" w:firstLineChars="200"/>
              <w:rPr>
                <w:rFonts w:ascii="仿宋" w:hAnsi="仿宋" w:eastAsia="仿宋" w:cs="仿宋"/>
                <w:sz w:val="18"/>
                <w:szCs w:val="18"/>
                <w:lang w:val="zh-CN"/>
              </w:rPr>
            </w:pPr>
            <w:r>
              <w:rPr>
                <w:rFonts w:hint="eastAsia" w:ascii="仿宋" w:hAnsi="仿宋" w:eastAsia="仿宋" w:cs="仿宋"/>
                <w:sz w:val="18"/>
                <w:szCs w:val="18"/>
              </w:rPr>
              <w:t>以体验教学法为主。在加强理论学习的同时，采用体验式的教学方法，充分调动学生积极性，激发学生创作力，最大限度地让学生发挥掌握编创课程、操控课堂的能力。</w:t>
            </w:r>
          </w:p>
          <w:p>
            <w:pP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8</w:t>
            </w:r>
          </w:p>
        </w:tc>
        <w:tc>
          <w:tcPr>
            <w:tcW w:w="698" w:type="dxa"/>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少儿歌曲分析及创作</w:t>
            </w:r>
          </w:p>
        </w:tc>
        <w:tc>
          <w:tcPr>
            <w:tcW w:w="250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使学生掌握歌曲常见的几种曲式结构，能够自主分析歌曲的曲式结构。对于歌曲的旋律进行和发展手法有一定认识，理解歌曲的基本创作思路。提高学生的音乐分析能力和音乐感知能力，提升演唱的表现力和创作的热情。</w:t>
            </w:r>
          </w:p>
        </w:tc>
        <w:tc>
          <w:tcPr>
            <w:tcW w:w="2369" w:type="dxa"/>
            <w:shd w:val="clear" w:color="auto" w:fill="auto"/>
            <w:vAlign w:val="center"/>
          </w:tcPr>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少儿歌曲的歌词、旋律特点</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少儿歌曲的题材、题材及风格</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少儿歌曲的曲式结构</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少儿歌曲整体实例分析</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旋律的构成与旋律的进行方式</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少儿歌曲的主题乐句</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少儿歌曲的旋律发展手法</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少儿歌曲的一般创作步骤</w:t>
            </w:r>
          </w:p>
          <w:p>
            <w:pPr>
              <w:numPr>
                <w:ilvl w:val="0"/>
                <w:numId w:val="5"/>
              </w:numPr>
              <w:jc w:val="left"/>
              <w:rPr>
                <w:rFonts w:ascii="仿宋" w:hAnsi="仿宋" w:eastAsia="仿宋" w:cs="仿宋"/>
                <w:sz w:val="18"/>
                <w:szCs w:val="18"/>
              </w:rPr>
            </w:pPr>
            <w:r>
              <w:rPr>
                <w:rFonts w:hint="eastAsia" w:ascii="仿宋" w:hAnsi="仿宋" w:eastAsia="仿宋" w:cs="仿宋"/>
                <w:sz w:val="18"/>
                <w:szCs w:val="18"/>
              </w:rPr>
              <w:t>少儿歌曲二声部写作</w:t>
            </w: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以讲授为主，结合歌曲谱例分析，运用多媒体技术开展教学活动，力求做到理论与实际相结合，谱例与音响并茂。在授课过程中要充分调动学生的积极性，激发学生的逻辑思维力。尽量使学生在专业学习中做到先分析作品再演唱或演奏。鼓励学生进行儿歌创作及相关的社会实践。</w:t>
            </w:r>
          </w:p>
          <w:p>
            <w:pP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9</w:t>
            </w:r>
          </w:p>
        </w:tc>
        <w:tc>
          <w:tcPr>
            <w:tcW w:w="698" w:type="dxa"/>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基础和声</w:t>
            </w:r>
          </w:p>
        </w:tc>
        <w:tc>
          <w:tcPr>
            <w:tcW w:w="250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使学生对西方古典和浪漫主义时期音乐作品的和声编配法则予以初步理解和把握。具备运用正三和弦及转位、属七和弦及转位以及终止四六和弦范围内的和声写作能力。同时具备一定的和声分析能力，掌握典型和声语汇的构成与在作品中的运用情况。</w:t>
            </w:r>
          </w:p>
        </w:tc>
        <w:tc>
          <w:tcPr>
            <w:tcW w:w="2369" w:type="dxa"/>
            <w:shd w:val="clear" w:color="auto" w:fill="auto"/>
            <w:vAlign w:val="center"/>
          </w:tcPr>
          <w:p>
            <w:pPr>
              <w:numPr>
                <w:ilvl w:val="0"/>
                <w:numId w:val="6"/>
              </w:numPr>
              <w:jc w:val="left"/>
              <w:rPr>
                <w:rFonts w:ascii="仿宋" w:hAnsi="仿宋" w:eastAsia="仿宋" w:cs="仿宋"/>
                <w:sz w:val="18"/>
                <w:szCs w:val="18"/>
              </w:rPr>
            </w:pPr>
            <w:r>
              <w:rPr>
                <w:rFonts w:hint="eastAsia" w:ascii="仿宋" w:hAnsi="仿宋" w:eastAsia="仿宋" w:cs="仿宋"/>
                <w:sz w:val="18"/>
                <w:szCs w:val="18"/>
              </w:rPr>
              <w:t>和声内涵</w:t>
            </w:r>
          </w:p>
          <w:p>
            <w:pPr>
              <w:numPr>
                <w:ilvl w:val="0"/>
                <w:numId w:val="6"/>
              </w:numPr>
              <w:jc w:val="left"/>
              <w:rPr>
                <w:rFonts w:ascii="仿宋" w:hAnsi="仿宋" w:eastAsia="仿宋" w:cs="仿宋"/>
                <w:sz w:val="18"/>
                <w:szCs w:val="18"/>
              </w:rPr>
            </w:pPr>
            <w:r>
              <w:rPr>
                <w:rFonts w:hint="eastAsia" w:ascii="仿宋" w:hAnsi="仿宋" w:eastAsia="仿宋" w:cs="仿宋"/>
                <w:sz w:val="18"/>
                <w:szCs w:val="18"/>
              </w:rPr>
              <w:t>原位正三和弦的平稳连接</w:t>
            </w:r>
          </w:p>
          <w:p>
            <w:pPr>
              <w:numPr>
                <w:ilvl w:val="0"/>
                <w:numId w:val="6"/>
              </w:numPr>
              <w:jc w:val="left"/>
              <w:rPr>
                <w:rFonts w:ascii="仿宋" w:hAnsi="仿宋" w:eastAsia="仿宋" w:cs="仿宋"/>
                <w:sz w:val="18"/>
                <w:szCs w:val="18"/>
              </w:rPr>
            </w:pPr>
            <w:r>
              <w:rPr>
                <w:rFonts w:hint="eastAsia" w:ascii="仿宋" w:hAnsi="仿宋" w:eastAsia="仿宋" w:cs="仿宋"/>
                <w:sz w:val="18"/>
                <w:szCs w:val="18"/>
              </w:rPr>
              <w:t>运用原位正三和弦为旋律配和声</w:t>
            </w:r>
          </w:p>
          <w:p>
            <w:pPr>
              <w:numPr>
                <w:ilvl w:val="0"/>
                <w:numId w:val="6"/>
              </w:numPr>
              <w:jc w:val="left"/>
              <w:rPr>
                <w:rFonts w:ascii="仿宋" w:hAnsi="仿宋" w:eastAsia="仿宋" w:cs="仿宋"/>
                <w:sz w:val="18"/>
                <w:szCs w:val="18"/>
              </w:rPr>
            </w:pPr>
            <w:r>
              <w:rPr>
                <w:rFonts w:hint="eastAsia" w:ascii="仿宋" w:hAnsi="仿宋" w:eastAsia="仿宋" w:cs="仿宋"/>
                <w:sz w:val="18"/>
                <w:szCs w:val="18"/>
              </w:rPr>
              <w:t>终止式</w:t>
            </w:r>
          </w:p>
          <w:p>
            <w:pPr>
              <w:numPr>
                <w:ilvl w:val="0"/>
                <w:numId w:val="6"/>
              </w:numPr>
              <w:jc w:val="left"/>
              <w:rPr>
                <w:rFonts w:ascii="仿宋" w:hAnsi="仿宋" w:eastAsia="仿宋" w:cs="仿宋"/>
                <w:sz w:val="18"/>
                <w:szCs w:val="18"/>
              </w:rPr>
            </w:pPr>
            <w:r>
              <w:rPr>
                <w:rFonts w:hint="eastAsia" w:ascii="仿宋" w:hAnsi="仿宋" w:eastAsia="仿宋" w:cs="仿宋"/>
                <w:sz w:val="18"/>
                <w:szCs w:val="18"/>
              </w:rPr>
              <w:t>正三和弦的转位</w:t>
            </w:r>
          </w:p>
          <w:p>
            <w:pPr>
              <w:numPr>
                <w:ilvl w:val="0"/>
                <w:numId w:val="6"/>
              </w:numPr>
              <w:jc w:val="left"/>
              <w:rPr>
                <w:rFonts w:ascii="仿宋" w:hAnsi="仿宋" w:eastAsia="仿宋" w:cs="仿宋"/>
                <w:sz w:val="18"/>
                <w:szCs w:val="18"/>
              </w:rPr>
            </w:pPr>
            <w:r>
              <w:rPr>
                <w:rFonts w:hint="eastAsia" w:ascii="仿宋" w:hAnsi="仿宋" w:eastAsia="仿宋" w:cs="仿宋"/>
                <w:sz w:val="18"/>
                <w:szCs w:val="18"/>
              </w:rPr>
              <w:t>属七和弦</w:t>
            </w: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以讲授为主，结合谱例分析及键盘弹奏，运用多媒体技术开展教学活动，力求做到理论与实际相结合，谱例与音响并茂，在授课过程中要充分调动学生的积极性，激发学生的逻辑思维力，鼓励学生将本课程与其他相关课程结合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10</w:t>
            </w:r>
          </w:p>
        </w:tc>
        <w:tc>
          <w:tcPr>
            <w:tcW w:w="698" w:type="dxa"/>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少儿舞蹈创编</w:t>
            </w:r>
          </w:p>
        </w:tc>
        <w:tc>
          <w:tcPr>
            <w:tcW w:w="250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通过本课程的学习，使学生学会编创简单的幼儿童舞蹈，掌握中国民族民间舞、古典舞的基本元素、基本动律，并能够形成自己的一套舞蹈教学法，在以后的教学中具备专业的舞蹈教学能力。</w:t>
            </w:r>
          </w:p>
        </w:tc>
        <w:tc>
          <w:tcPr>
            <w:tcW w:w="2369" w:type="dxa"/>
            <w:shd w:val="clear" w:color="auto" w:fill="auto"/>
            <w:vAlign w:val="center"/>
          </w:tcPr>
          <w:p>
            <w:pPr>
              <w:numPr>
                <w:ilvl w:val="0"/>
                <w:numId w:val="7"/>
              </w:numPr>
              <w:jc w:val="left"/>
              <w:rPr>
                <w:rFonts w:ascii="仿宋" w:hAnsi="仿宋" w:eastAsia="仿宋" w:cs="仿宋"/>
                <w:sz w:val="18"/>
                <w:szCs w:val="18"/>
              </w:rPr>
            </w:pPr>
            <w:r>
              <w:rPr>
                <w:rFonts w:hint="eastAsia" w:ascii="仿宋" w:hAnsi="仿宋" w:eastAsia="仿宋" w:cs="仿宋"/>
                <w:sz w:val="18"/>
                <w:szCs w:val="18"/>
              </w:rPr>
              <w:t>幼儿舞蹈</w:t>
            </w:r>
          </w:p>
          <w:p>
            <w:pPr>
              <w:numPr>
                <w:ilvl w:val="0"/>
                <w:numId w:val="7"/>
              </w:numPr>
              <w:jc w:val="left"/>
              <w:rPr>
                <w:rFonts w:ascii="仿宋" w:hAnsi="仿宋" w:eastAsia="仿宋" w:cs="仿宋"/>
                <w:sz w:val="18"/>
                <w:szCs w:val="18"/>
              </w:rPr>
            </w:pPr>
            <w:r>
              <w:rPr>
                <w:rFonts w:hint="eastAsia" w:ascii="仿宋" w:hAnsi="仿宋" w:eastAsia="仿宋" w:cs="仿宋"/>
                <w:sz w:val="18"/>
                <w:szCs w:val="18"/>
              </w:rPr>
              <w:t>花鼓灯基本组合</w:t>
            </w:r>
          </w:p>
          <w:p>
            <w:pPr>
              <w:jc w:val="left"/>
              <w:rPr>
                <w:rFonts w:ascii="仿宋" w:hAnsi="仿宋" w:eastAsia="仿宋" w:cs="仿宋"/>
                <w:sz w:val="18"/>
                <w:szCs w:val="18"/>
              </w:rPr>
            </w:pPr>
            <w:r>
              <w:rPr>
                <w:rFonts w:hint="eastAsia" w:ascii="仿宋" w:hAnsi="仿宋" w:eastAsia="仿宋" w:cs="仿宋"/>
                <w:sz w:val="18"/>
                <w:szCs w:val="18"/>
              </w:rPr>
              <w:t>（3）傣族舞蹈基本组合（4）藏族舞蹈基本组合（5）东北秧歌基本组合（6）蒙族舞蹈基本组合（7）维族舞蹈基本组合</w:t>
            </w:r>
          </w:p>
          <w:p>
            <w:pPr>
              <w:jc w:val="left"/>
              <w:rPr>
                <w:rFonts w:ascii="仿宋" w:hAnsi="仿宋" w:eastAsia="仿宋" w:cs="仿宋"/>
                <w:sz w:val="18"/>
                <w:szCs w:val="18"/>
              </w:rPr>
            </w:pPr>
            <w:r>
              <w:rPr>
                <w:rFonts w:hint="eastAsia" w:ascii="仿宋" w:hAnsi="仿宋" w:eastAsia="仿宋" w:cs="仿宋"/>
                <w:sz w:val="18"/>
                <w:szCs w:val="18"/>
              </w:rPr>
              <w:t>（8）舞蹈创编</w:t>
            </w:r>
          </w:p>
          <w:p>
            <w:pPr>
              <w:jc w:val="left"/>
              <w:rPr>
                <w:rFonts w:ascii="仿宋" w:hAnsi="仿宋" w:eastAsia="仿宋" w:cs="仿宋"/>
                <w:sz w:val="18"/>
                <w:szCs w:val="18"/>
              </w:rPr>
            </w:pP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color w:val="000000"/>
                <w:sz w:val="18"/>
                <w:szCs w:val="18"/>
              </w:rPr>
              <w:t>采用讲授法、示范法、口传身授法、情境教学法等，激发学生的学校兴趣，积极发挥学生的主体作用，让学生积极参与到教学活动中，引导学生勤于思考，勤于探索，提出问题并能积极地解决问题。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p>
        </w:tc>
        <w:tc>
          <w:tcPr>
            <w:tcW w:w="698" w:type="dxa"/>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钢琴即兴伴奏</w:t>
            </w:r>
          </w:p>
        </w:tc>
        <w:tc>
          <w:tcPr>
            <w:tcW w:w="2509" w:type="dxa"/>
            <w:shd w:val="clear" w:color="auto" w:fill="auto"/>
            <w:vAlign w:val="center"/>
          </w:tcPr>
          <w:p>
            <w:pPr>
              <w:tabs>
                <w:tab w:val="left" w:pos="0"/>
              </w:tabs>
              <w:autoSpaceDE w:val="0"/>
              <w:autoSpaceDN w:val="0"/>
              <w:adjustRightInd w:val="0"/>
              <w:rPr>
                <w:rFonts w:ascii="仿宋" w:hAnsi="仿宋" w:eastAsia="仿宋" w:cs="仿宋"/>
                <w:kern w:val="0"/>
                <w:sz w:val="18"/>
                <w:szCs w:val="18"/>
                <w:lang w:val="zh-CN"/>
              </w:rPr>
            </w:pPr>
            <w:r>
              <w:rPr>
                <w:rFonts w:hint="eastAsia" w:ascii="仿宋" w:hAnsi="仿宋" w:eastAsia="仿宋" w:cs="仿宋"/>
                <w:kern w:val="0"/>
                <w:sz w:val="18"/>
                <w:szCs w:val="18"/>
                <w:lang w:val="zh-CN"/>
              </w:rPr>
              <w:t>掌握即兴伴奏的分析与实践必备的基础知识和技能，提升在社会生活中的实践操作能力，运用相关知识解决一些即兴伴奏的实际问题。使全体学生熟练掌握即兴伴奏的基本弹奏方法、和声基础知识，理解并掌握各种类型、风格的伴奏音型，并能综合应用。</w:t>
            </w:r>
          </w:p>
          <w:p>
            <w:pPr>
              <w:jc w:val="left"/>
              <w:rPr>
                <w:rFonts w:ascii="仿宋" w:hAnsi="仿宋" w:eastAsia="仿宋" w:cs="仿宋"/>
                <w:sz w:val="18"/>
                <w:szCs w:val="18"/>
              </w:rPr>
            </w:pPr>
          </w:p>
        </w:tc>
        <w:tc>
          <w:tcPr>
            <w:tcW w:w="2369"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（1）熟悉C大调主和弦、属和弦、下属和弦及属七和弦；理解掌握柱式和弦、低音加和弦式和弦、半分解和弦、全分解和弦的伴奏音型</w:t>
            </w:r>
          </w:p>
          <w:p>
            <w:pPr>
              <w:jc w:val="left"/>
              <w:rPr>
                <w:rFonts w:ascii="仿宋" w:hAnsi="仿宋" w:eastAsia="仿宋" w:cs="仿宋"/>
                <w:sz w:val="18"/>
                <w:szCs w:val="18"/>
              </w:rPr>
            </w:pPr>
            <w:r>
              <w:rPr>
                <w:rFonts w:hint="eastAsia" w:ascii="仿宋" w:hAnsi="仿宋" w:eastAsia="仿宋" w:cs="仿宋"/>
                <w:sz w:val="18"/>
                <w:szCs w:val="18"/>
              </w:rPr>
              <w:t>（2）一升一降及两升两降的大小调伴奏</w:t>
            </w:r>
          </w:p>
          <w:p>
            <w:pPr>
              <w:jc w:val="left"/>
              <w:rPr>
                <w:rFonts w:ascii="仿宋" w:hAnsi="仿宋" w:eastAsia="仿宋" w:cs="仿宋"/>
                <w:sz w:val="18"/>
                <w:szCs w:val="18"/>
              </w:rPr>
            </w:pPr>
            <w:r>
              <w:rPr>
                <w:rFonts w:hint="eastAsia" w:ascii="仿宋" w:hAnsi="仿宋" w:eastAsia="仿宋" w:cs="仿宋"/>
                <w:sz w:val="18"/>
                <w:szCs w:val="18"/>
              </w:rPr>
              <w:t>（3）理解并掌握幼儿歌曲、通俗歌曲、艺术歌曲的实际伴奏方法和综合运用能力</w:t>
            </w:r>
          </w:p>
          <w:p>
            <w:pPr>
              <w:jc w:val="left"/>
              <w:rPr>
                <w:rFonts w:ascii="仿宋" w:hAnsi="仿宋" w:eastAsia="仿宋" w:cs="仿宋"/>
                <w:sz w:val="18"/>
                <w:szCs w:val="18"/>
              </w:rPr>
            </w:pPr>
            <w:r>
              <w:rPr>
                <w:rFonts w:hint="eastAsia" w:ascii="仿宋" w:hAnsi="仿宋" w:eastAsia="仿宋" w:cs="仿宋"/>
                <w:sz w:val="18"/>
                <w:szCs w:val="18"/>
              </w:rPr>
              <w:t>（4）具备对作品的分析能力和创新能力，</w:t>
            </w:r>
            <w:r>
              <w:rPr>
                <w:rFonts w:hint="eastAsia" w:ascii="仿宋" w:hAnsi="仿宋" w:eastAsia="仿宋" w:cs="仿宋"/>
                <w:color w:val="333333"/>
                <w:sz w:val="18"/>
                <w:szCs w:val="18"/>
                <w:shd w:val="clear" w:color="auto" w:fill="FFFFFF"/>
              </w:rPr>
              <w:t>根据歌曲的风格特点与音乐形象等，选择和弦，设计音型，进行伴奏织体的编配并</w:t>
            </w:r>
            <w:r>
              <w:rPr>
                <w:rFonts w:hint="eastAsia" w:ascii="仿宋" w:hAnsi="仿宋" w:eastAsia="仿宋" w:cs="仿宋"/>
                <w:sz w:val="18"/>
                <w:szCs w:val="18"/>
              </w:rPr>
              <w:t>有感情地做到自弹自唱及与演唱者的交流沟通能力。</w:t>
            </w:r>
          </w:p>
        </w:tc>
        <w:tc>
          <w:tcPr>
            <w:tcW w:w="2320" w:type="dxa"/>
            <w:shd w:val="clear" w:color="auto" w:fill="auto"/>
            <w:vAlign w:val="center"/>
          </w:tcPr>
          <w:p>
            <w:pPr>
              <w:jc w:val="left"/>
              <w:rPr>
                <w:rFonts w:ascii="仿宋" w:hAnsi="仿宋" w:eastAsia="仿宋" w:cs="仿宋"/>
                <w:color w:val="000000"/>
                <w:sz w:val="18"/>
                <w:szCs w:val="18"/>
              </w:rPr>
            </w:pPr>
            <w:r>
              <w:rPr>
                <w:rFonts w:hint="eastAsia" w:ascii="仿宋" w:hAnsi="仿宋" w:eastAsia="仿宋" w:cs="仿宋"/>
                <w:color w:val="000000"/>
                <w:sz w:val="18"/>
                <w:szCs w:val="18"/>
              </w:rPr>
              <w:t>采用讲授法、示范法、口传身授法、情境教学法等，激发学生的学校兴趣，积极发挥学生的主体作用，让学生积极参与到教学活动中，引导学生勤于思考，勤于探索，提出问题并能积极地解决问题。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shd w:val="clear" w:color="auto" w:fill="auto"/>
            <w:vAlign w:val="center"/>
          </w:tcPr>
          <w:p>
            <w:pPr>
              <w:jc w:val="center"/>
              <w:rPr>
                <w:rFonts w:ascii="仿宋" w:hAnsi="仿宋" w:eastAsia="仿宋" w:cs="仿宋"/>
                <w:sz w:val="18"/>
                <w:szCs w:val="18"/>
              </w:rPr>
            </w:pPr>
          </w:p>
        </w:tc>
        <w:tc>
          <w:tcPr>
            <w:tcW w:w="698" w:type="dxa"/>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合唱与指挥</w:t>
            </w:r>
          </w:p>
        </w:tc>
        <w:tc>
          <w:tcPr>
            <w:tcW w:w="2509" w:type="dxa"/>
            <w:shd w:val="clear" w:color="auto" w:fill="auto"/>
            <w:vAlign w:val="center"/>
          </w:tcPr>
          <w:p>
            <w:pPr>
              <w:rPr>
                <w:rFonts w:ascii="仿宋" w:hAnsi="仿宋" w:eastAsia="仿宋" w:cs="仿宋"/>
                <w:kern w:val="0"/>
                <w:sz w:val="18"/>
                <w:szCs w:val="18"/>
                <w:lang w:val="zh-CN"/>
              </w:rPr>
            </w:pPr>
            <w:r>
              <w:rPr>
                <w:rFonts w:hint="eastAsia" w:ascii="仿宋" w:hAnsi="仿宋" w:eastAsia="仿宋" w:cs="仿宋"/>
                <w:kern w:val="0"/>
                <w:sz w:val="18"/>
                <w:szCs w:val="18"/>
                <w:lang w:val="zh-CN"/>
              </w:rPr>
              <w:t>使学生提高演唱多声部合唱</w:t>
            </w:r>
            <w:r>
              <w:rPr>
                <w:rFonts w:hint="eastAsia" w:ascii="仿宋" w:hAnsi="仿宋" w:eastAsia="仿宋" w:cs="仿宋"/>
                <w:sz w:val="18"/>
                <w:szCs w:val="18"/>
              </w:rPr>
              <w:t>作品的能力、培养学生的多声（和声、复调）音乐思维和感觉，使学生对音乐形成完整的概念</w:t>
            </w:r>
            <w:r>
              <w:rPr>
                <w:rFonts w:hint="eastAsia" w:ascii="仿宋" w:hAnsi="仿宋" w:eastAsia="仿宋" w:cs="仿宋"/>
                <w:kern w:val="0"/>
                <w:sz w:val="18"/>
                <w:szCs w:val="18"/>
                <w:lang w:val="zh-CN"/>
              </w:rPr>
              <w:t>，并能理解和掌握合唱的训练方法和手段、组织和指挥合唱队演唱中、小型作品，用正确指挥图示和准确的指挥手势引导合唱队表现作品，为今后担任音乐教学工作和开展合唱活动打下良好基础。</w:t>
            </w:r>
          </w:p>
          <w:p>
            <w:pPr>
              <w:tabs>
                <w:tab w:val="left" w:pos="0"/>
              </w:tabs>
              <w:autoSpaceDE w:val="0"/>
              <w:autoSpaceDN w:val="0"/>
              <w:adjustRightInd w:val="0"/>
              <w:rPr>
                <w:rFonts w:ascii="仿宋" w:hAnsi="仿宋" w:eastAsia="仿宋" w:cs="仿宋"/>
                <w:kern w:val="0"/>
                <w:sz w:val="18"/>
                <w:szCs w:val="18"/>
                <w:lang w:val="zh-CN"/>
              </w:rPr>
            </w:pPr>
          </w:p>
        </w:tc>
        <w:tc>
          <w:tcPr>
            <w:tcW w:w="2369" w:type="dxa"/>
            <w:shd w:val="clear" w:color="auto" w:fill="auto"/>
            <w:vAlign w:val="center"/>
          </w:tcPr>
          <w:p>
            <w:pPr>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（1）合唱基础知识</w:t>
            </w:r>
          </w:p>
          <w:p>
            <w:pPr>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（2）中、外合唱发展的各个阶段和特征</w:t>
            </w:r>
          </w:p>
          <w:p>
            <w:pPr>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（3）欧洲十四一十六世纪合唱作品赏析（复调、无调性作品）</w:t>
            </w:r>
          </w:p>
          <w:p>
            <w:pPr>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（4）合唱的呼吸、歌唱方式、位置、合唱多声部练声要求</w:t>
            </w:r>
          </w:p>
          <w:p>
            <w:pPr>
              <w:tabs>
                <w:tab w:val="left" w:pos="770"/>
              </w:tabs>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 xml:space="preserve"> （5）合唱的力度、音域、气息、音色</w:t>
            </w:r>
          </w:p>
          <w:p>
            <w:pPr>
              <w:tabs>
                <w:tab w:val="left" w:pos="770"/>
              </w:tabs>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（6）视唱四声部中外作品十至十五首</w:t>
            </w:r>
          </w:p>
          <w:p>
            <w:pPr>
              <w:tabs>
                <w:tab w:val="left" w:pos="770"/>
              </w:tabs>
              <w:rPr>
                <w:rFonts w:ascii="仿宋" w:hAnsi="仿宋" w:eastAsia="仿宋" w:cs="仿宋"/>
                <w:kern w:val="0"/>
                <w:sz w:val="18"/>
                <w:szCs w:val="18"/>
                <w:lang w:val="zh-CN"/>
              </w:rPr>
            </w:pPr>
            <w:r>
              <w:rPr>
                <w:rFonts w:hint="eastAsia" w:ascii="仿宋" w:hAnsi="仿宋" w:eastAsia="仿宋" w:cs="仿宋"/>
                <w:kern w:val="0"/>
                <w:sz w:val="18"/>
                <w:szCs w:val="18"/>
                <w:lang w:val="zh-CN"/>
              </w:rPr>
              <w:t>（7）合唱的声音训练</w:t>
            </w:r>
          </w:p>
          <w:p>
            <w:pPr>
              <w:tabs>
                <w:tab w:val="left" w:pos="770"/>
              </w:tabs>
              <w:jc w:val="left"/>
              <w:rPr>
                <w:rFonts w:ascii="仿宋" w:hAnsi="仿宋" w:eastAsia="仿宋" w:cs="仿宋"/>
                <w:kern w:val="0"/>
                <w:sz w:val="18"/>
                <w:szCs w:val="18"/>
                <w:lang w:val="zh-CN"/>
              </w:rPr>
            </w:pPr>
            <w:r>
              <w:rPr>
                <w:rFonts w:hint="eastAsia" w:ascii="仿宋" w:hAnsi="仿宋" w:eastAsia="仿宋" w:cs="仿宋"/>
                <w:kern w:val="0"/>
                <w:sz w:val="18"/>
                <w:szCs w:val="18"/>
                <w:lang w:val="zh-CN"/>
              </w:rPr>
              <w:t>（8）合唱作品的曲式分析与作品处理</w:t>
            </w:r>
          </w:p>
          <w:p>
            <w:pPr>
              <w:tabs>
                <w:tab w:val="left" w:pos="345"/>
              </w:tabs>
              <w:rPr>
                <w:rFonts w:ascii="仿宋" w:hAnsi="仿宋" w:eastAsia="仿宋" w:cs="仿宋"/>
                <w:kern w:val="0"/>
                <w:sz w:val="18"/>
                <w:szCs w:val="18"/>
                <w:lang w:val="zh-CN"/>
              </w:rPr>
            </w:pPr>
            <w:r>
              <w:rPr>
                <w:rFonts w:hint="eastAsia" w:ascii="仿宋" w:hAnsi="仿宋" w:eastAsia="仿宋" w:cs="仿宋"/>
                <w:kern w:val="0"/>
                <w:sz w:val="18"/>
                <w:szCs w:val="18"/>
                <w:lang w:val="zh-CN"/>
              </w:rPr>
              <w:t>（9）合唱作品排练（后符作品）</w:t>
            </w:r>
          </w:p>
          <w:p>
            <w:pPr>
              <w:tabs>
                <w:tab w:val="left" w:pos="770"/>
              </w:tabs>
              <w:jc w:val="left"/>
              <w:rPr>
                <w:rFonts w:ascii="仿宋" w:hAnsi="仿宋" w:eastAsia="仿宋" w:cs="仿宋"/>
                <w:kern w:val="0"/>
                <w:sz w:val="18"/>
                <w:szCs w:val="18"/>
                <w:lang w:val="zh-CN"/>
              </w:rPr>
            </w:pPr>
          </w:p>
        </w:tc>
        <w:tc>
          <w:tcPr>
            <w:tcW w:w="2320" w:type="dxa"/>
            <w:shd w:val="clear" w:color="auto" w:fill="auto"/>
            <w:vAlign w:val="center"/>
          </w:tcPr>
          <w:p>
            <w:pPr>
              <w:tabs>
                <w:tab w:val="left" w:pos="345"/>
              </w:tabs>
              <w:rPr>
                <w:rFonts w:ascii="仿宋" w:hAnsi="仿宋" w:eastAsia="仿宋" w:cs="仿宋"/>
                <w:kern w:val="0"/>
                <w:sz w:val="18"/>
                <w:szCs w:val="18"/>
                <w:lang w:val="zh-CN"/>
              </w:rPr>
            </w:pPr>
            <w:r>
              <w:rPr>
                <w:rFonts w:hint="eastAsia" w:ascii="仿宋" w:hAnsi="仿宋" w:eastAsia="仿宋" w:cs="仿宋"/>
                <w:kern w:val="0"/>
                <w:sz w:val="18"/>
                <w:szCs w:val="18"/>
                <w:lang w:val="zh-CN"/>
              </w:rPr>
              <w:t>教学采用集体课，小组课、观摩课、个别课相结合、以集体课为主,小组课(声部)为辅。发挥教师的主导作用、运用启发式、愉快教学方法、在进行技术训练的同时、注意学生的心智活动、培养高尚的审美观和正确的声音辩别能力、使学生在音乐表现的方面得到发展</w:t>
            </w:r>
          </w:p>
        </w:tc>
      </w:tr>
    </w:tbl>
    <w:p>
      <w:pPr>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（三）专业拓展课程</w:t>
      </w:r>
    </w:p>
    <w:tbl>
      <w:tblPr>
        <w:tblStyle w:val="1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698"/>
        <w:gridCol w:w="1405"/>
        <w:gridCol w:w="2509"/>
        <w:gridCol w:w="236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序号</w:t>
            </w:r>
          </w:p>
        </w:tc>
        <w:tc>
          <w:tcPr>
            <w:tcW w:w="698" w:type="dxa"/>
            <w:shd w:val="clear" w:color="auto" w:fill="auto"/>
          </w:tcPr>
          <w:p>
            <w:pPr>
              <w:jc w:val="center"/>
              <w:rPr>
                <w:rFonts w:ascii="仿宋" w:hAnsi="仿宋" w:eastAsia="仿宋" w:cs="仿宋"/>
                <w:sz w:val="18"/>
                <w:szCs w:val="18"/>
              </w:rPr>
            </w:pPr>
            <w:r>
              <w:rPr>
                <w:rFonts w:hint="eastAsia" w:ascii="仿宋" w:hAnsi="仿宋" w:eastAsia="仿宋" w:cs="仿宋"/>
                <w:sz w:val="18"/>
                <w:szCs w:val="18"/>
              </w:rPr>
              <w:t>课程类型</w:t>
            </w: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课程名称</w:t>
            </w:r>
          </w:p>
        </w:tc>
        <w:tc>
          <w:tcPr>
            <w:tcW w:w="2509"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课程目标</w:t>
            </w:r>
          </w:p>
        </w:tc>
        <w:tc>
          <w:tcPr>
            <w:tcW w:w="2369"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主要内容</w:t>
            </w:r>
          </w:p>
        </w:tc>
        <w:tc>
          <w:tcPr>
            <w:tcW w:w="2320"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1</w:t>
            </w:r>
          </w:p>
        </w:tc>
        <w:tc>
          <w:tcPr>
            <w:tcW w:w="698" w:type="dxa"/>
            <w:vMerge w:val="restart"/>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专业拓展</w:t>
            </w: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民族器乐</w:t>
            </w:r>
          </w:p>
        </w:tc>
        <w:tc>
          <w:tcPr>
            <w:tcW w:w="250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通过教师介绍、学生查阅资料等方式，促使学生理解所学民族器乐的基本知识，包括该民族器乐的起源、发展演变过程、基本构造、乐器分类、名家名曲、乐器保养、社会影响等。通过教师指导、自主练习、合作练习与表演等方式，促使学生掌握所学民族器乐的演奏方法与技巧，包括指法、节奏、音准、力度、转换、乐感、姿势等，能够自主与合作演奏所学民族器乐。学生经过长期学习、练习、考级、演出等，最终在所学民族器乐方面形成特长</w:t>
            </w: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内容主要包括民乐基本知识、演奏方法与技巧、情感体验等。目前，学校正在开发民族器乐校本教材，教材包括民族乐器相关的文化知识、演奏技能、经典作品赏析、典籍介绍与评析、练习曲谱等；在把握学生年龄、认知实际与心理特点以及民乐文化学法特点等的基础上安排教材内容。</w:t>
            </w:r>
          </w:p>
        </w:tc>
        <w:tc>
          <w:tcPr>
            <w:tcW w:w="2320" w:type="dxa"/>
            <w:shd w:val="clear" w:color="auto" w:fill="auto"/>
            <w:vAlign w:val="center"/>
          </w:tcPr>
          <w:p>
            <w:pPr>
              <w:jc w:val="left"/>
              <w:rPr>
                <w:rFonts w:ascii="仿宋" w:hAnsi="仿宋" w:eastAsia="仿宋" w:cs="仿宋"/>
                <w:sz w:val="18"/>
                <w:szCs w:val="18"/>
              </w:rPr>
            </w:pPr>
            <w:r>
              <w:rPr>
                <w:rFonts w:hint="eastAsia" w:ascii="仿宋" w:hAnsi="仿宋" w:eastAsia="仿宋" w:cs="仿宋"/>
                <w:sz w:val="18"/>
                <w:szCs w:val="18"/>
              </w:rPr>
              <w:t>在教学过程中，教师要精心设计教学环节，采取多种方式教学，减轻学生的身体和心理负担，使其感受到其中的快乐、提高对作品的鉴赏能力，每次上课结束总结时，引导学生谈自己的收获、情感等，让学生感觉到自己的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2</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音乐鉴赏</w:t>
            </w:r>
          </w:p>
        </w:tc>
        <w:tc>
          <w:tcPr>
            <w:tcW w:w="250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通过本课程的学习，扩大学生的音乐视野。使学生掌握多方面的音乐表现形式、音乐体裁等知识。提高学生的音乐感知能力、想象能力、理解能力和艺术鉴赏能力。掌握一定的音乐美学知识，提高和培养高尚的审美情趣。要求学生经过本课程学习，能够理解中、西方音乐文化的基本脉络，掌握一定的音乐欣赏方式，方法及音乐的体裁风格、流派等知识。</w:t>
            </w:r>
          </w:p>
          <w:p>
            <w:pPr>
              <w:jc w:val="left"/>
              <w:rPr>
                <w:rFonts w:ascii="仿宋" w:hAnsi="仿宋" w:eastAsia="仿宋" w:cs="仿宋"/>
                <w:sz w:val="18"/>
                <w:szCs w:val="18"/>
              </w:rPr>
            </w:pP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教材为全国高等学校音乐专业课程教材，涉及了古今中外各流派、风格的有代表性的音乐曲目；并增加了通俗音乐的内容，增加了20世纪现代音乐作品欣赏的内容，填补了过去音乐欣赏教学中这方面内容的不足。教师根据音像资和文字资料引导学生是聆听和欣赏。教师在授课时需根据不同的教学目的和学生的实际情况，有选择性的上课。</w:t>
            </w:r>
          </w:p>
        </w:tc>
        <w:tc>
          <w:tcPr>
            <w:tcW w:w="2320" w:type="dxa"/>
            <w:shd w:val="clear" w:color="auto" w:fill="auto"/>
            <w:vAlign w:val="center"/>
          </w:tcPr>
          <w:p>
            <w:pPr>
              <w:ind w:firstLine="270" w:firstLineChars="150"/>
              <w:rPr>
                <w:rFonts w:ascii="仿宋" w:hAnsi="仿宋" w:eastAsia="仿宋" w:cs="仿宋"/>
                <w:sz w:val="18"/>
                <w:szCs w:val="18"/>
              </w:rPr>
            </w:pPr>
            <w:r>
              <w:rPr>
                <w:rFonts w:hint="eastAsia" w:ascii="仿宋" w:hAnsi="仿宋" w:eastAsia="仿宋" w:cs="仿宋"/>
                <w:sz w:val="18"/>
                <w:szCs w:val="18"/>
              </w:rPr>
              <w:t>教师在授课时需根据不同的教学目的和学生的实际情况，有选择性的上课。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3</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剧目赏析</w:t>
            </w:r>
          </w:p>
        </w:tc>
        <w:tc>
          <w:tcPr>
            <w:tcW w:w="2509" w:type="dxa"/>
            <w:shd w:val="clear" w:color="auto" w:fill="auto"/>
            <w:vAlign w:val="center"/>
          </w:tcPr>
          <w:p>
            <w:pPr>
              <w:ind w:firstLine="360" w:firstLineChars="200"/>
              <w:rPr>
                <w:rFonts w:ascii="仿宋" w:hAnsi="仿宋" w:eastAsia="仿宋" w:cs="仿宋"/>
                <w:sz w:val="18"/>
                <w:szCs w:val="18"/>
              </w:rPr>
            </w:pPr>
            <w:r>
              <w:rPr>
                <w:rFonts w:hint="eastAsia" w:ascii="仿宋" w:hAnsi="仿宋" w:eastAsia="仿宋" w:cs="仿宋"/>
                <w:sz w:val="18"/>
                <w:szCs w:val="18"/>
              </w:rPr>
              <w:t>丰富学生的音乐知识，提高学生对艺术美（音乐）的感知能力、鉴别能力、欣赏能力及创造和表现能力，培养学生崇高的审美理想、正确的审美观念和健康的审美情趣，从而能按照美的规律来美化自身和改造客观世界。</w:t>
            </w: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介绍歌剧、音乐剧、戏曲等中外经典剧目的相关音乐基本常识等。</w:t>
            </w:r>
          </w:p>
        </w:tc>
        <w:tc>
          <w:tcPr>
            <w:tcW w:w="2320" w:type="dxa"/>
            <w:shd w:val="clear" w:color="auto" w:fill="auto"/>
            <w:vAlign w:val="center"/>
          </w:tcPr>
          <w:p>
            <w:pPr>
              <w:ind w:firstLine="270" w:firstLineChars="150"/>
              <w:rPr>
                <w:rFonts w:ascii="仿宋" w:hAnsi="仿宋" w:eastAsia="仿宋" w:cs="仿宋"/>
                <w:sz w:val="18"/>
                <w:szCs w:val="18"/>
              </w:rPr>
            </w:pPr>
            <w:r>
              <w:rPr>
                <w:rFonts w:hint="eastAsia" w:ascii="仿宋" w:hAnsi="仿宋" w:eastAsia="仿宋" w:cs="仿宋"/>
                <w:sz w:val="18"/>
                <w:szCs w:val="18"/>
              </w:rPr>
              <w:t>通过剧目赏析课堂教学活动，可以使大学生理解不同种类剧目的音乐特点和基础知识，感受中外经典剧目作品的艺术内涵，充分体验歌剧、音乐剧、戏曲等综合性的艺术文化，理解和学习不同的艺术门类及相关知识，进一步完善、丰富大学生的知识结构和知识的多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4</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少儿歌曲弹唱</w:t>
            </w:r>
          </w:p>
        </w:tc>
        <w:tc>
          <w:tcPr>
            <w:tcW w:w="250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少儿歌曲弹唱方法在单纯练习弹奏技巧的同时必须兼顾其艺术性，同时还要考虑到演唱的配合，要求演唱技巧和弹奏技巧体现音乐艺术的一部分，将演唱和弹奏技能有效融合。</w:t>
            </w: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少儿歌曲弹唱课程是融弹奏技巧、和弦技法、乐理基本知识、曲式与作品分析理解等于一身的音乐课程。基本方法的练习策略亦不外乎在键盘方面熟练掌握与领会和弦的使用与表现方式以及音乐元素的技巧处理方法。</w:t>
            </w:r>
          </w:p>
        </w:tc>
        <w:tc>
          <w:tcPr>
            <w:tcW w:w="2320" w:type="dxa"/>
            <w:shd w:val="clear" w:color="auto" w:fill="auto"/>
            <w:vAlign w:val="center"/>
          </w:tcPr>
          <w:p>
            <w:pPr>
              <w:ind w:firstLine="270" w:firstLineChars="150"/>
              <w:rPr>
                <w:rFonts w:ascii="仿宋" w:hAnsi="仿宋" w:eastAsia="仿宋" w:cs="仿宋"/>
                <w:sz w:val="18"/>
                <w:szCs w:val="18"/>
              </w:rPr>
            </w:pPr>
            <w:r>
              <w:rPr>
                <w:rFonts w:hint="eastAsia" w:ascii="仿宋" w:hAnsi="仿宋" w:eastAsia="仿宋" w:cs="仿宋"/>
                <w:sz w:val="18"/>
                <w:szCs w:val="18"/>
              </w:rPr>
              <w:t>教师宜采用实践为主，理论随辅的原则，在实践教学中将理论知识内化到实际的教学实践之中去。根据演奏风格的变化对弹奏技巧做出相应变化，进阶的练习可以以乐句为主，逐渐变成乐段、乐曲练习。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5</w:t>
            </w:r>
          </w:p>
        </w:tc>
        <w:tc>
          <w:tcPr>
            <w:tcW w:w="698" w:type="dxa"/>
            <w:vMerge w:val="continue"/>
            <w:shd w:val="clear" w:color="auto" w:fill="auto"/>
            <w:vAlign w:val="center"/>
          </w:tcPr>
          <w:p>
            <w:pPr>
              <w:jc w:val="center"/>
              <w:rPr>
                <w:rFonts w:ascii="仿宋" w:hAnsi="仿宋" w:eastAsia="仿宋" w:cs="仿宋"/>
                <w:sz w:val="18"/>
                <w:szCs w:val="18"/>
              </w:rPr>
            </w:pPr>
          </w:p>
        </w:tc>
        <w:tc>
          <w:tcPr>
            <w:tcW w:w="1405" w:type="dxa"/>
            <w:shd w:val="clear" w:color="auto" w:fill="auto"/>
            <w:vAlign w:val="center"/>
          </w:tcPr>
          <w:p>
            <w:pPr>
              <w:jc w:val="center"/>
              <w:rPr>
                <w:rFonts w:ascii="仿宋" w:hAnsi="仿宋" w:eastAsia="仿宋" w:cs="仿宋"/>
                <w:sz w:val="18"/>
                <w:szCs w:val="18"/>
              </w:rPr>
            </w:pPr>
            <w:r>
              <w:rPr>
                <w:rFonts w:hint="eastAsia" w:ascii="仿宋" w:hAnsi="仿宋" w:eastAsia="仿宋" w:cs="仿宋"/>
                <w:sz w:val="18"/>
                <w:szCs w:val="18"/>
              </w:rPr>
              <w:t>入编辅导</w:t>
            </w:r>
          </w:p>
        </w:tc>
        <w:tc>
          <w:tcPr>
            <w:tcW w:w="250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根据学生入编考试开设的入教学学、心理学理论综合及音乐基础理论专业综合课程</w:t>
            </w:r>
          </w:p>
        </w:tc>
        <w:tc>
          <w:tcPr>
            <w:tcW w:w="2369"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教学理论综合及音乐专业综合</w:t>
            </w:r>
          </w:p>
        </w:tc>
        <w:tc>
          <w:tcPr>
            <w:tcW w:w="2320" w:type="dxa"/>
            <w:shd w:val="clear" w:color="auto" w:fill="auto"/>
            <w:vAlign w:val="center"/>
          </w:tcPr>
          <w:p>
            <w:pPr>
              <w:rPr>
                <w:rFonts w:ascii="仿宋" w:hAnsi="仿宋" w:eastAsia="仿宋" w:cs="仿宋"/>
                <w:sz w:val="18"/>
                <w:szCs w:val="18"/>
              </w:rPr>
            </w:pPr>
            <w:r>
              <w:rPr>
                <w:rFonts w:hint="eastAsia" w:ascii="仿宋" w:hAnsi="仿宋" w:eastAsia="仿宋" w:cs="仿宋"/>
                <w:sz w:val="18"/>
                <w:szCs w:val="18"/>
              </w:rPr>
              <w:t>教师以分析真题的形式给毕业班的学生及面临考编的学生进行有针对性的辅导教学。</w:t>
            </w:r>
          </w:p>
        </w:tc>
      </w:tr>
    </w:tbl>
    <w:p>
      <w:pPr>
        <w:spacing w:line="480" w:lineRule="auto"/>
        <w:ind w:firstLine="640" w:firstLineChars="200"/>
        <w:rPr>
          <w:rFonts w:ascii="仿宋" w:hAnsi="仿宋" w:eastAsia="仿宋" w:cs="仿宋"/>
          <w:sz w:val="32"/>
          <w:szCs w:val="32"/>
        </w:rPr>
      </w:pPr>
    </w:p>
    <w:p>
      <w:pPr>
        <w:ind w:firstLine="480" w:firstLineChars="200"/>
        <w:rPr>
          <w:rFonts w:ascii="黑体" w:hAnsi="黑体" w:eastAsia="黑体" w:cs="黑体"/>
          <w:sz w:val="24"/>
          <w:szCs w:val="24"/>
        </w:rPr>
      </w:pPr>
      <w:r>
        <w:rPr>
          <w:rFonts w:hint="eastAsia" w:ascii="黑体" w:hAnsi="黑体" w:eastAsia="黑体" w:cs="黑体"/>
          <w:sz w:val="24"/>
          <w:szCs w:val="24"/>
        </w:rPr>
        <w:t>八、教学进程总体安排</w:t>
      </w:r>
    </w:p>
    <w:p>
      <w:pPr>
        <w:ind w:firstLine="422" w:firstLineChars="200"/>
        <w:rPr>
          <w:rFonts w:ascii="仿宋_GB2312" w:hAnsi="仿宋_GB2312" w:eastAsia="仿宋_GB2312" w:cs="仿宋_GB2312"/>
          <w:szCs w:val="21"/>
        </w:rPr>
      </w:pPr>
      <w:r>
        <w:rPr>
          <w:rFonts w:hint="eastAsia" w:ascii="仿宋_GB2312" w:hAnsi="仿宋_GB2312" w:eastAsia="仿宋_GB2312" w:cs="仿宋_GB2312"/>
          <w:b/>
          <w:szCs w:val="21"/>
        </w:rPr>
        <w:t>（一）</w:t>
      </w:r>
      <w:r>
        <w:rPr>
          <w:rFonts w:hint="eastAsia" w:ascii="仿宋_GB2312" w:hAnsi="仿宋_GB2312" w:eastAsia="仿宋_GB2312" w:cs="仿宋_GB2312"/>
          <w:b/>
          <w:szCs w:val="21"/>
        </w:rPr>
        <w:tab/>
      </w:r>
      <w:r>
        <w:rPr>
          <w:rFonts w:hint="eastAsia" w:ascii="仿宋_GB2312" w:hAnsi="仿宋_GB2312" w:eastAsia="仿宋_GB2312" w:cs="仿宋_GB2312"/>
          <w:b/>
          <w:szCs w:val="21"/>
        </w:rPr>
        <w:t>教学时间分配表</w:t>
      </w:r>
    </w:p>
    <w:tbl>
      <w:tblPr>
        <w:tblStyle w:val="1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21"/>
        <w:gridCol w:w="918"/>
        <w:gridCol w:w="918"/>
        <w:gridCol w:w="615"/>
        <w:gridCol w:w="615"/>
        <w:gridCol w:w="615"/>
        <w:gridCol w:w="615"/>
        <w:gridCol w:w="615"/>
        <w:gridCol w:w="615"/>
        <w:gridCol w:w="615"/>
        <w:gridCol w:w="641"/>
        <w:gridCol w:w="828"/>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10"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学年</w:t>
            </w:r>
          </w:p>
        </w:tc>
        <w:tc>
          <w:tcPr>
            <w:tcW w:w="621"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学期</w:t>
            </w:r>
          </w:p>
        </w:tc>
        <w:tc>
          <w:tcPr>
            <w:tcW w:w="918"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总周数</w:t>
            </w:r>
          </w:p>
        </w:tc>
        <w:tc>
          <w:tcPr>
            <w:tcW w:w="1533" w:type="dxa"/>
            <w:gridSpan w:val="2"/>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其  中</w:t>
            </w:r>
          </w:p>
        </w:tc>
        <w:tc>
          <w:tcPr>
            <w:tcW w:w="6172" w:type="dxa"/>
            <w:gridSpan w:val="9"/>
            <w:vAlign w:val="center"/>
          </w:tcPr>
          <w:p>
            <w:pPr>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教学周数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10"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621"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918"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1533" w:type="dxa"/>
            <w:gridSpan w:val="2"/>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1230" w:type="dxa"/>
            <w:gridSpan w:val="2"/>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课程教学</w:t>
            </w:r>
          </w:p>
        </w:tc>
        <w:tc>
          <w:tcPr>
            <w:tcW w:w="4942" w:type="dxa"/>
            <w:gridSpan w:val="7"/>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实 践 教 育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10"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621"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918"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寒暑假</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学期</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周数</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课堂</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教学</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学期</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总结</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课程</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实践</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见习</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课程</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设计</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教育</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专业</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实习</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毕业</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设计</w:t>
            </w: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军事</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理论</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训练</w:t>
            </w:r>
          </w:p>
        </w:tc>
        <w:tc>
          <w:tcPr>
            <w:tcW w:w="82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入学</w:t>
            </w:r>
          </w:p>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教育　</w:t>
            </w:r>
          </w:p>
        </w:tc>
        <w:tc>
          <w:tcPr>
            <w:tcW w:w="1013" w:type="dxa"/>
            <w:vAlign w:val="center"/>
          </w:tcPr>
          <w:p>
            <w:pPr>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10"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一</w:t>
            </w:r>
          </w:p>
          <w:p>
            <w:pPr>
              <w:widowControl/>
              <w:spacing w:line="440" w:lineRule="exact"/>
              <w:ind w:right="-105" w:rightChars="-50"/>
              <w:jc w:val="center"/>
              <w:rPr>
                <w:rFonts w:ascii="仿宋" w:hAnsi="仿宋" w:eastAsia="仿宋" w:cs="仿宋"/>
                <w:sz w:val="18"/>
                <w:szCs w:val="18"/>
              </w:rPr>
            </w:pP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918"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52</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4</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15</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828" w:type="dxa"/>
            <w:vAlign w:val="center"/>
          </w:tcPr>
          <w:p>
            <w:pPr>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1013" w:type="dxa"/>
            <w:vAlign w:val="center"/>
          </w:tcPr>
          <w:p>
            <w:pPr>
              <w:spacing w:line="440" w:lineRule="exact"/>
              <w:ind w:left="-105" w:leftChars="-50" w:right="-105" w:rightChars="-50"/>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10"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918"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17</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828" w:type="dxa"/>
            <w:vAlign w:val="center"/>
          </w:tcPr>
          <w:p>
            <w:pPr>
              <w:spacing w:line="440" w:lineRule="exact"/>
              <w:ind w:left="-105" w:leftChars="-50" w:right="-105" w:rightChars="-50"/>
              <w:jc w:val="center"/>
              <w:rPr>
                <w:rFonts w:ascii="仿宋" w:hAnsi="仿宋" w:eastAsia="仿宋" w:cs="仿宋"/>
                <w:sz w:val="18"/>
                <w:szCs w:val="18"/>
              </w:rPr>
            </w:pPr>
          </w:p>
        </w:tc>
        <w:tc>
          <w:tcPr>
            <w:tcW w:w="1013" w:type="dxa"/>
            <w:vAlign w:val="center"/>
          </w:tcPr>
          <w:p>
            <w:pPr>
              <w:spacing w:line="440" w:lineRule="exact"/>
              <w:ind w:left="-105" w:leftChars="-50" w:right="-105" w:rightChars="-50"/>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10" w:type="dxa"/>
            <w:vMerge w:val="restart"/>
            <w:vAlign w:val="center"/>
          </w:tcPr>
          <w:p>
            <w:pPr>
              <w:widowControl/>
              <w:spacing w:line="440" w:lineRule="exact"/>
              <w:ind w:right="-105" w:rightChars="-50"/>
              <w:jc w:val="center"/>
              <w:rPr>
                <w:rFonts w:ascii="仿宋" w:hAnsi="仿宋" w:eastAsia="仿宋" w:cs="仿宋"/>
                <w:sz w:val="18"/>
                <w:szCs w:val="18"/>
              </w:rPr>
            </w:pPr>
            <w:r>
              <w:rPr>
                <w:rFonts w:hint="eastAsia" w:ascii="仿宋" w:hAnsi="仿宋" w:eastAsia="仿宋" w:cs="仿宋"/>
                <w:sz w:val="18"/>
                <w:szCs w:val="18"/>
              </w:rPr>
              <w:t>二</w:t>
            </w: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c>
          <w:tcPr>
            <w:tcW w:w="918"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52</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4</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16</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p>
        </w:tc>
        <w:tc>
          <w:tcPr>
            <w:tcW w:w="828" w:type="dxa"/>
            <w:vAlign w:val="center"/>
          </w:tcPr>
          <w:p>
            <w:pPr>
              <w:spacing w:line="440" w:lineRule="exact"/>
              <w:ind w:left="-105" w:leftChars="-50" w:right="-105" w:rightChars="-50"/>
              <w:jc w:val="center"/>
              <w:rPr>
                <w:rFonts w:ascii="仿宋" w:hAnsi="仿宋" w:eastAsia="仿宋" w:cs="仿宋"/>
                <w:sz w:val="18"/>
                <w:szCs w:val="18"/>
              </w:rPr>
            </w:pPr>
          </w:p>
        </w:tc>
        <w:tc>
          <w:tcPr>
            <w:tcW w:w="1013" w:type="dxa"/>
            <w:vAlign w:val="center"/>
          </w:tcPr>
          <w:p>
            <w:pPr>
              <w:spacing w:line="440" w:lineRule="exact"/>
              <w:ind w:left="-105" w:leftChars="-50" w:right="-105" w:rightChars="-50"/>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10"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4</w:t>
            </w:r>
          </w:p>
        </w:tc>
        <w:tc>
          <w:tcPr>
            <w:tcW w:w="918" w:type="dxa"/>
            <w:vMerge w:val="continue"/>
            <w:vAlign w:val="center"/>
          </w:tcPr>
          <w:p>
            <w:pPr>
              <w:widowControl/>
              <w:spacing w:line="440" w:lineRule="exact"/>
              <w:ind w:left="-105" w:leftChars="-50" w:right="-105" w:rightChars="-50"/>
              <w:jc w:val="left"/>
              <w:rPr>
                <w:rFonts w:ascii="仿宋" w:hAnsi="仿宋" w:eastAsia="仿宋" w:cs="仿宋"/>
                <w:sz w:val="18"/>
                <w:szCs w:val="18"/>
              </w:rPr>
            </w:pP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16</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828" w:type="dxa"/>
            <w:vAlign w:val="center"/>
          </w:tcPr>
          <w:p>
            <w:pPr>
              <w:spacing w:line="440" w:lineRule="exact"/>
              <w:ind w:left="-105" w:leftChars="-50" w:right="-105" w:rightChars="-50"/>
              <w:jc w:val="center"/>
              <w:rPr>
                <w:rFonts w:ascii="仿宋" w:hAnsi="仿宋" w:eastAsia="仿宋" w:cs="仿宋"/>
                <w:sz w:val="18"/>
                <w:szCs w:val="18"/>
              </w:rPr>
            </w:pPr>
          </w:p>
        </w:tc>
        <w:tc>
          <w:tcPr>
            <w:tcW w:w="1013" w:type="dxa"/>
            <w:vAlign w:val="center"/>
          </w:tcPr>
          <w:p>
            <w:pPr>
              <w:spacing w:line="440" w:lineRule="exact"/>
              <w:ind w:left="-105" w:leftChars="-50" w:right="-105" w:rightChars="-50"/>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10" w:type="dxa"/>
            <w:vMerge w:val="restart"/>
            <w:vAlign w:val="center"/>
          </w:tcPr>
          <w:p>
            <w:pPr>
              <w:widowControl/>
              <w:spacing w:line="440" w:lineRule="exact"/>
              <w:ind w:right="-105" w:rightChars="-50"/>
              <w:jc w:val="center"/>
              <w:rPr>
                <w:rFonts w:ascii="仿宋" w:hAnsi="仿宋" w:eastAsia="仿宋" w:cs="仿宋"/>
                <w:sz w:val="18"/>
                <w:szCs w:val="18"/>
              </w:rPr>
            </w:pPr>
            <w:r>
              <w:rPr>
                <w:rFonts w:hint="eastAsia" w:ascii="仿宋" w:hAnsi="仿宋" w:eastAsia="仿宋" w:cs="仿宋"/>
                <w:sz w:val="18"/>
                <w:szCs w:val="18"/>
              </w:rPr>
              <w:t>三</w:t>
            </w: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5</w:t>
            </w:r>
          </w:p>
        </w:tc>
        <w:tc>
          <w:tcPr>
            <w:tcW w:w="918" w:type="dxa"/>
            <w:vMerge w:val="restart"/>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52</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4</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15</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p>
        </w:tc>
        <w:tc>
          <w:tcPr>
            <w:tcW w:w="828" w:type="dxa"/>
            <w:vAlign w:val="center"/>
          </w:tcPr>
          <w:p>
            <w:pPr>
              <w:spacing w:line="440" w:lineRule="exact"/>
              <w:ind w:left="-105" w:leftChars="-50" w:right="-105" w:rightChars="-50"/>
              <w:jc w:val="center"/>
              <w:rPr>
                <w:rFonts w:ascii="仿宋" w:hAnsi="仿宋" w:eastAsia="仿宋" w:cs="仿宋"/>
                <w:sz w:val="18"/>
                <w:szCs w:val="18"/>
              </w:rPr>
            </w:pPr>
          </w:p>
        </w:tc>
        <w:tc>
          <w:tcPr>
            <w:tcW w:w="1013" w:type="dxa"/>
            <w:vAlign w:val="center"/>
          </w:tcPr>
          <w:p>
            <w:pPr>
              <w:spacing w:line="440" w:lineRule="exact"/>
              <w:ind w:left="-105" w:leftChars="-50" w:right="-105" w:rightChars="-50"/>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10" w:type="dxa"/>
            <w:vMerge w:val="continue"/>
            <w:vAlign w:val="center"/>
          </w:tcPr>
          <w:p>
            <w:pPr>
              <w:widowControl/>
              <w:spacing w:line="440" w:lineRule="exact"/>
              <w:ind w:left="-105" w:leftChars="-50" w:right="-105" w:rightChars="-50"/>
              <w:jc w:val="center"/>
              <w:rPr>
                <w:rFonts w:ascii="仿宋" w:hAnsi="仿宋" w:eastAsia="仿宋" w:cs="仿宋"/>
                <w:sz w:val="18"/>
                <w:szCs w:val="18"/>
              </w:rPr>
            </w:pPr>
          </w:p>
        </w:tc>
        <w:tc>
          <w:tcPr>
            <w:tcW w:w="62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6</w:t>
            </w:r>
          </w:p>
        </w:tc>
        <w:tc>
          <w:tcPr>
            <w:tcW w:w="918" w:type="dxa"/>
            <w:vMerge w:val="continue"/>
            <w:vAlign w:val="center"/>
          </w:tcPr>
          <w:p>
            <w:pPr>
              <w:widowControl/>
              <w:spacing w:line="440" w:lineRule="exact"/>
              <w:ind w:left="-105" w:leftChars="-50" w:right="-105" w:rightChars="-50"/>
              <w:jc w:val="center"/>
              <w:rPr>
                <w:rFonts w:ascii="仿宋" w:hAnsi="仿宋" w:eastAsia="仿宋" w:cs="仿宋"/>
                <w:sz w:val="18"/>
                <w:szCs w:val="18"/>
              </w:rPr>
            </w:pP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　　</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6</w:t>
            </w: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　</w:t>
            </w:r>
          </w:p>
        </w:tc>
        <w:tc>
          <w:tcPr>
            <w:tcW w:w="828" w:type="dxa"/>
            <w:vAlign w:val="center"/>
          </w:tcPr>
          <w:p>
            <w:pPr>
              <w:spacing w:line="440" w:lineRule="exact"/>
              <w:ind w:left="-105" w:leftChars="-50" w:right="-105" w:rightChars="-50"/>
              <w:jc w:val="center"/>
              <w:rPr>
                <w:rFonts w:ascii="仿宋" w:hAnsi="仿宋" w:eastAsia="仿宋" w:cs="仿宋"/>
                <w:sz w:val="18"/>
                <w:szCs w:val="18"/>
              </w:rPr>
            </w:pPr>
          </w:p>
        </w:tc>
        <w:tc>
          <w:tcPr>
            <w:tcW w:w="1013" w:type="dxa"/>
            <w:vAlign w:val="center"/>
          </w:tcPr>
          <w:p>
            <w:pPr>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231" w:type="dxa"/>
            <w:gridSpan w:val="2"/>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小计</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156</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36</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120</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79</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7</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12</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6</w:t>
            </w:r>
          </w:p>
        </w:tc>
        <w:tc>
          <w:tcPr>
            <w:tcW w:w="641"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2</w:t>
            </w:r>
          </w:p>
        </w:tc>
        <w:tc>
          <w:tcPr>
            <w:tcW w:w="82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w:t>
            </w:r>
          </w:p>
        </w:tc>
        <w:tc>
          <w:tcPr>
            <w:tcW w:w="1013"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231" w:type="dxa"/>
            <w:gridSpan w:val="2"/>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合计</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156</w:t>
            </w:r>
          </w:p>
        </w:tc>
        <w:tc>
          <w:tcPr>
            <w:tcW w:w="918"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36</w:t>
            </w:r>
          </w:p>
        </w:tc>
        <w:tc>
          <w:tcPr>
            <w:tcW w:w="615" w:type="dxa"/>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120</w:t>
            </w:r>
          </w:p>
        </w:tc>
        <w:tc>
          <w:tcPr>
            <w:tcW w:w="1230" w:type="dxa"/>
            <w:gridSpan w:val="2"/>
            <w:vAlign w:val="center"/>
          </w:tcPr>
          <w:p>
            <w:pPr>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86</w:t>
            </w:r>
          </w:p>
        </w:tc>
        <w:tc>
          <w:tcPr>
            <w:tcW w:w="4942" w:type="dxa"/>
            <w:gridSpan w:val="7"/>
            <w:vAlign w:val="center"/>
          </w:tcPr>
          <w:p>
            <w:pPr>
              <w:widowControl/>
              <w:spacing w:line="440" w:lineRule="exact"/>
              <w:ind w:left="-105" w:leftChars="-50" w:right="-105" w:rightChars="-50"/>
              <w:jc w:val="center"/>
              <w:rPr>
                <w:rFonts w:ascii="仿宋" w:hAnsi="仿宋" w:eastAsia="仿宋" w:cs="仿宋"/>
                <w:sz w:val="18"/>
                <w:szCs w:val="18"/>
              </w:rPr>
            </w:pPr>
            <w:r>
              <w:rPr>
                <w:rFonts w:hint="eastAsia" w:ascii="仿宋" w:hAnsi="仿宋" w:eastAsia="仿宋" w:cs="仿宋"/>
                <w:sz w:val="18"/>
                <w:szCs w:val="18"/>
              </w:rPr>
              <w:t>34</w:t>
            </w:r>
          </w:p>
        </w:tc>
      </w:tr>
    </w:tbl>
    <w:p>
      <w:pPr>
        <w:rPr>
          <w:rFonts w:ascii="仿宋" w:hAnsi="仿宋" w:eastAsia="仿宋" w:cs="仿宋"/>
          <w:sz w:val="18"/>
          <w:szCs w:val="18"/>
        </w:rPr>
      </w:pPr>
    </w:p>
    <w:p>
      <w:pPr>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 xml:space="preserve">（二）教学环节进程表 </w:t>
      </w:r>
    </w:p>
    <w:tbl>
      <w:tblPr>
        <w:tblStyle w:val="16"/>
        <w:tblW w:w="9854" w:type="dxa"/>
        <w:jc w:val="center"/>
        <w:tblInd w:w="0" w:type="dxa"/>
        <w:tblLayout w:type="fixed"/>
        <w:tblCellMar>
          <w:top w:w="0" w:type="dxa"/>
          <w:left w:w="108" w:type="dxa"/>
          <w:bottom w:w="0" w:type="dxa"/>
          <w:right w:w="108" w:type="dxa"/>
        </w:tblCellMar>
      </w:tblPr>
      <w:tblGrid>
        <w:gridCol w:w="823"/>
        <w:gridCol w:w="377"/>
        <w:gridCol w:w="377"/>
        <w:gridCol w:w="377"/>
        <w:gridCol w:w="377"/>
        <w:gridCol w:w="377"/>
        <w:gridCol w:w="377"/>
        <w:gridCol w:w="377"/>
        <w:gridCol w:w="377"/>
        <w:gridCol w:w="377"/>
        <w:gridCol w:w="376"/>
        <w:gridCol w:w="376"/>
        <w:gridCol w:w="376"/>
        <w:gridCol w:w="376"/>
        <w:gridCol w:w="376"/>
        <w:gridCol w:w="376"/>
        <w:gridCol w:w="376"/>
        <w:gridCol w:w="376"/>
        <w:gridCol w:w="376"/>
        <w:gridCol w:w="376"/>
        <w:gridCol w:w="376"/>
        <w:gridCol w:w="376"/>
        <w:gridCol w:w="376"/>
        <w:gridCol w:w="376"/>
        <w:gridCol w:w="374"/>
      </w:tblGrid>
      <w:tr>
        <w:tblPrEx>
          <w:tblLayout w:type="fixed"/>
          <w:tblCellMar>
            <w:top w:w="0" w:type="dxa"/>
            <w:left w:w="108" w:type="dxa"/>
            <w:bottom w:w="0" w:type="dxa"/>
            <w:right w:w="108" w:type="dxa"/>
          </w:tblCellMar>
        </w:tblPrEx>
        <w:trPr>
          <w:trHeight w:val="628" w:hRule="atLeast"/>
          <w:jc w:val="center"/>
        </w:trPr>
        <w:tc>
          <w:tcPr>
            <w:tcW w:w="823" w:type="dxa"/>
            <w:tcBorders>
              <w:top w:val="single" w:color="auto" w:sz="4" w:space="0"/>
              <w:left w:val="single" w:color="auto" w:sz="4" w:space="0"/>
              <w:bottom w:val="single" w:color="auto" w:sz="4" w:space="0"/>
              <w:right w:val="single" w:color="auto" w:sz="4" w:space="0"/>
              <w:tl2br w:val="single" w:color="auto" w:sz="4" w:space="0"/>
            </w:tcBorders>
          </w:tcPr>
          <w:p>
            <w:pPr>
              <w:rPr>
                <w:rFonts w:ascii="仿宋_GB2312" w:eastAsia="仿宋_GB2312"/>
                <w:sz w:val="18"/>
                <w:szCs w:val="18"/>
              </w:rPr>
            </w:pPr>
            <w:r>
              <w:rPr>
                <w:rFonts w:hint="eastAsia" w:ascii="仿宋_GB2312" w:eastAsia="仿宋_GB2312"/>
                <w:sz w:val="18"/>
                <w:szCs w:val="18"/>
              </w:rPr>
              <w:t>周</w:t>
            </w:r>
          </w:p>
          <w:p>
            <w:pPr>
              <w:ind w:left="35" w:leftChars="-44" w:hanging="127" w:hangingChars="71"/>
              <w:jc w:val="left"/>
              <w:rPr>
                <w:rFonts w:ascii="仿宋_GB2312" w:eastAsia="仿宋_GB2312"/>
                <w:sz w:val="18"/>
                <w:szCs w:val="18"/>
              </w:rPr>
            </w:pPr>
            <w:r>
              <w:rPr>
                <w:rFonts w:hint="eastAsia" w:ascii="仿宋_GB2312" w:eastAsia="仿宋_GB2312"/>
                <w:sz w:val="18"/>
                <w:szCs w:val="18"/>
              </w:rPr>
              <w:t>学期</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3</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5</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6</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7</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8</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9</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10</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11</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12</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13</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14</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15</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16</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17</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18</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19</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20</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21</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22</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23</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24</w:t>
            </w:r>
          </w:p>
        </w:tc>
      </w:tr>
      <w:tr>
        <w:tblPrEx>
          <w:tblLayout w:type="fixed"/>
          <w:tblCellMar>
            <w:top w:w="0" w:type="dxa"/>
            <w:left w:w="108" w:type="dxa"/>
            <w:bottom w:w="0" w:type="dxa"/>
            <w:right w:w="108" w:type="dxa"/>
          </w:tblCellMar>
        </w:tblPrEx>
        <w:trPr>
          <w:trHeight w:val="31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一</w:t>
            </w:r>
          </w:p>
        </w:tc>
        <w:tc>
          <w:tcPr>
            <w:tcW w:w="377" w:type="dxa"/>
            <w:tcBorders>
              <w:top w:val="single" w:color="auto" w:sz="4" w:space="0"/>
              <w:left w:val="single" w:color="auto" w:sz="4" w:space="0"/>
              <w:bottom w:val="single" w:color="auto" w:sz="4" w:space="0"/>
              <w:right w:val="single" w:color="auto" w:sz="4" w:space="0"/>
              <w:tr2bl w:val="single" w:color="auto" w:sz="4" w:space="0"/>
            </w:tcBorders>
            <w:vAlign w:val="center"/>
          </w:tcPr>
          <w:p>
            <w:pPr>
              <w:jc w:val="center"/>
              <w:rPr>
                <w:rFonts w:ascii="仿宋_GB2312" w:eastAsia="仿宋_GB2312"/>
                <w:sz w:val="18"/>
                <w:szCs w:val="18"/>
              </w:rPr>
            </w:pPr>
            <w:r>
              <w:rPr>
                <w:rFonts w:hint="eastAsia" w:ascii="仿宋_GB2312"/>
                <w:sz w:val="18"/>
                <w:szCs w:val="18"/>
              </w:rPr>
              <w:t>⊕</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V</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V</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32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二</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31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三</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69"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四</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31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五</w:t>
            </w: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hAnsi="宋体" w:eastAsia="仿宋_GB2312" w:cs="宋体"/>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310"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六</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eastAsia="仿宋_GB2312"/>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hAnsi="黑体" w:eastAsia="仿宋_GB2312" w:cs="宋体"/>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hAnsi="黑体" w:eastAsia="仿宋_GB2312" w:cs="宋体"/>
                <w:sz w:val="18"/>
                <w:szCs w:val="18"/>
              </w:rPr>
              <w:t>＠</w:t>
            </w:r>
          </w:p>
        </w:tc>
        <w:tc>
          <w:tcPr>
            <w:tcW w:w="377" w:type="dxa"/>
            <w:tcBorders>
              <w:top w:val="single" w:color="auto" w:sz="4" w:space="0"/>
              <w:left w:val="single" w:color="auto" w:sz="4" w:space="0"/>
              <w:bottom w:val="single" w:color="auto" w:sz="4" w:space="0"/>
              <w:right w:val="single" w:color="auto" w:sz="4" w:space="0"/>
            </w:tcBorders>
          </w:tcPr>
          <w:p>
            <w:pPr>
              <w:rPr>
                <w:rFonts w:ascii="仿宋_GB2312" w:eastAsia="仿宋_GB2312"/>
                <w:sz w:val="18"/>
                <w:szCs w:val="18"/>
              </w:rPr>
            </w:pPr>
            <w:r>
              <w:rPr>
                <w:rFonts w:hint="eastAsia" w:ascii="仿宋_GB2312" w:hAnsi="黑体" w:eastAsia="仿宋_GB2312" w:cs="宋体"/>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hAnsi="宋体" w:eastAsia="仿宋_GB2312" w:cs="宋体"/>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　</w:t>
            </w:r>
          </w:p>
        </w:tc>
        <w:tc>
          <w:tcPr>
            <w:tcW w:w="3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3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eastAsia="仿宋_GB2312"/>
                <w:sz w:val="18"/>
                <w:szCs w:val="18"/>
              </w:rPr>
              <w:t>≡</w:t>
            </w:r>
          </w:p>
        </w:tc>
      </w:tr>
    </w:tbl>
    <w:p/>
    <w:p>
      <w:pPr>
        <w:rPr>
          <w:rFonts w:ascii="仿宋" w:hAnsi="仿宋" w:eastAsia="仿宋" w:cs="仿宋"/>
          <w:b/>
          <w:bCs/>
          <w:szCs w:val="21"/>
        </w:rPr>
      </w:pPr>
      <w:r>
        <w:rPr>
          <w:rFonts w:hint="eastAsia" w:ascii="仿宋" w:hAnsi="仿宋" w:eastAsia="仿宋" w:cs="仿宋"/>
          <w:b/>
          <w:bCs/>
          <w:szCs w:val="21"/>
        </w:rPr>
        <w:t xml:space="preserve">图例：⊕入学教育   　V军事理论与训练　  　　：学期总结　   / 见习、实习、研习　 △课程设计　    □毕业实习　≡ 假期　     ＋毕业设计    ＠就业指导 </w:t>
      </w:r>
    </w:p>
    <w:p>
      <w:pPr>
        <w:ind w:firstLine="422" w:firstLineChars="200"/>
        <w:rPr>
          <w:rFonts w:ascii="仿宋" w:hAnsi="仿宋" w:eastAsia="仿宋" w:cs="仿宋"/>
          <w:b/>
          <w:bCs/>
          <w:szCs w:val="21"/>
        </w:rPr>
      </w:pPr>
      <w:r>
        <w:rPr>
          <w:rFonts w:hint="eastAsia" w:ascii="仿宋" w:hAnsi="仿宋" w:eastAsia="仿宋" w:cs="仿宋"/>
          <w:b/>
          <w:bCs/>
          <w:szCs w:val="21"/>
        </w:rPr>
        <w:t xml:space="preserve">（三）课程及实践教学环节学时学分表 </w:t>
      </w:r>
    </w:p>
    <w:tbl>
      <w:tblPr>
        <w:tblStyle w:val="16"/>
        <w:tblW w:w="9854" w:type="dxa"/>
        <w:tblInd w:w="0" w:type="dxa"/>
        <w:tblLayout w:type="fixed"/>
        <w:tblCellMar>
          <w:top w:w="0" w:type="dxa"/>
          <w:left w:w="108" w:type="dxa"/>
          <w:bottom w:w="0" w:type="dxa"/>
          <w:right w:w="108" w:type="dxa"/>
        </w:tblCellMar>
      </w:tblPr>
      <w:tblGrid>
        <w:gridCol w:w="426"/>
        <w:gridCol w:w="426"/>
        <w:gridCol w:w="979"/>
        <w:gridCol w:w="1066"/>
        <w:gridCol w:w="531"/>
        <w:gridCol w:w="519"/>
        <w:gridCol w:w="520"/>
        <w:gridCol w:w="520"/>
        <w:gridCol w:w="520"/>
        <w:gridCol w:w="340"/>
        <w:gridCol w:w="591"/>
        <w:gridCol w:w="663"/>
        <w:gridCol w:w="706"/>
        <w:gridCol w:w="645"/>
        <w:gridCol w:w="488"/>
        <w:gridCol w:w="488"/>
        <w:gridCol w:w="426"/>
      </w:tblGrid>
      <w:tr>
        <w:tblPrEx>
          <w:tblLayout w:type="fixed"/>
          <w:tblCellMar>
            <w:top w:w="0" w:type="dxa"/>
            <w:left w:w="108" w:type="dxa"/>
            <w:bottom w:w="0" w:type="dxa"/>
            <w:right w:w="108" w:type="dxa"/>
          </w:tblCellMar>
        </w:tblPrEx>
        <w:trPr>
          <w:trHeight w:val="270" w:hRule="atLeast"/>
        </w:trPr>
        <w:tc>
          <w:tcPr>
            <w:tcW w:w="85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课程类型</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课程编码</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sz w:val="18"/>
                <w:szCs w:val="18"/>
              </w:rPr>
            </w:pPr>
            <w:r>
              <w:rPr>
                <w:rFonts w:hint="eastAsia" w:ascii="仿宋" w:hAnsi="仿宋" w:eastAsia="仿宋" w:cs="仿宋"/>
                <w:kern w:val="0"/>
                <w:sz w:val="18"/>
                <w:szCs w:val="18"/>
              </w:rPr>
              <w:t>课程名称</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学分</w:t>
            </w:r>
          </w:p>
        </w:tc>
        <w:tc>
          <w:tcPr>
            <w:tcW w:w="301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学期分布和周学时</w:t>
            </w:r>
          </w:p>
        </w:tc>
        <w:tc>
          <w:tcPr>
            <w:tcW w:w="20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总课时数及比例</w:t>
            </w:r>
          </w:p>
        </w:tc>
        <w:tc>
          <w:tcPr>
            <w:tcW w:w="9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考核方式</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备注</w:t>
            </w:r>
          </w:p>
        </w:tc>
      </w:tr>
      <w:tr>
        <w:tblPrEx>
          <w:tblLayout w:type="fixed"/>
          <w:tblCellMar>
            <w:top w:w="0" w:type="dxa"/>
            <w:left w:w="108" w:type="dxa"/>
            <w:bottom w:w="0" w:type="dxa"/>
            <w:right w:w="108" w:type="dxa"/>
          </w:tblCellMar>
        </w:tblPrEx>
        <w:trPr>
          <w:trHeight w:val="270" w:hRule="atLeast"/>
        </w:trPr>
        <w:tc>
          <w:tcPr>
            <w:tcW w:w="85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仿宋"/>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18"/>
                <w:szCs w:val="18"/>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18"/>
                <w:szCs w:val="18"/>
              </w:rPr>
            </w:pP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总课时</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理论</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实践</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考试</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考查</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公共课</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公共基础必修课程</w:t>
            </w: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A031101</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思想道德修养与法律(含师德）</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r>
      <w:tr>
        <w:tblPrEx>
          <w:tblLayout w:type="fixed"/>
          <w:tblCellMar>
            <w:top w:w="0" w:type="dxa"/>
            <w:left w:w="108" w:type="dxa"/>
            <w:bottom w:w="0" w:type="dxa"/>
            <w:right w:w="108" w:type="dxa"/>
          </w:tblCellMar>
        </w:tblPrEx>
        <w:trPr>
          <w:trHeight w:val="78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A031102</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毛泽东思想和“中国特色社会主义理论体系概论</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A031103</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形势与政策</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A031104</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大学英语</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120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16</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A031105</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大学语文</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A031106</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军事理论</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A031107</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计算机基础知识</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A031108</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大学生心理健康教育</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A031109</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大学体育</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126</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A031110</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职业发展规划</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A031111</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就业指导</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A031112</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创新创业教育</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4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A031113</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nil"/>
              <w:right w:val="nil"/>
            </w:tcBorders>
            <w:shd w:val="clear" w:color="auto" w:fill="auto"/>
            <w:vAlign w:val="center"/>
          </w:tcPr>
          <w:p>
            <w:pPr>
              <w:widowControl/>
              <w:jc w:val="left"/>
              <w:rPr>
                <w:rFonts w:ascii="仿宋" w:hAnsi="仿宋" w:eastAsia="仿宋" w:cs="仿宋"/>
                <w:color w:val="000000" w:themeColor="text1"/>
                <w:kern w:val="0"/>
                <w:sz w:val="18"/>
                <w:szCs w:val="18"/>
              </w:rPr>
            </w:pP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51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646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308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338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42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公共基础选修修课程</w:t>
            </w: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人文素养</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修满8学分</w:t>
            </w:r>
          </w:p>
        </w:tc>
      </w:tr>
      <w:tr>
        <w:tblPrEx>
          <w:tblLayout w:type="fixed"/>
          <w:tblCellMar>
            <w:top w:w="0" w:type="dxa"/>
            <w:left w:w="108" w:type="dxa"/>
            <w:bottom w:w="0" w:type="dxa"/>
            <w:right w:w="108" w:type="dxa"/>
          </w:tblCellMar>
        </w:tblPrEx>
        <w:trPr>
          <w:trHeight w:val="51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科学素养</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510"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艺术素养</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FF0000"/>
                <w:kern w:val="0"/>
                <w:sz w:val="18"/>
                <w:szCs w:val="18"/>
              </w:rPr>
            </w:pPr>
            <w:r>
              <w:rPr>
                <w:rFonts w:hint="eastAsia" w:ascii="仿宋" w:hAnsi="仿宋" w:eastAsia="仿宋" w:cs="仿宋"/>
                <w:color w:val="FF0000"/>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85</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专业课</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专业基础课</w:t>
            </w:r>
          </w:p>
        </w:tc>
        <w:tc>
          <w:tcPr>
            <w:tcW w:w="97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E132101</w:t>
            </w:r>
          </w:p>
        </w:tc>
        <w:tc>
          <w:tcPr>
            <w:tcW w:w="106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教育学</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E132102</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心理学</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499"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E132103</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儿童发展与教育心理学</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E132104</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小学班级管理</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nil"/>
              <w:right w:val="nil"/>
            </w:tcBorders>
            <w:shd w:val="clear" w:color="auto" w:fill="auto"/>
            <w:vAlign w:val="center"/>
          </w:tcPr>
          <w:p>
            <w:pPr>
              <w:widowControl/>
              <w:jc w:val="center"/>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E132105</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小学音乐教学法</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E132106</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简笔画</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E132107</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普通话</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E132108</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现代教育技术</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E132109</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书法</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1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nil"/>
              <w:right w:val="nil"/>
            </w:tcBorders>
            <w:shd w:val="clear" w:color="auto" w:fill="auto"/>
            <w:vAlign w:val="center"/>
          </w:tcPr>
          <w:p>
            <w:pPr>
              <w:widowControl/>
              <w:jc w:val="left"/>
              <w:rPr>
                <w:rFonts w:ascii="仿宋" w:hAnsi="仿宋" w:eastAsia="仿宋" w:cs="仿宋"/>
                <w:color w:val="000000" w:themeColor="text1"/>
                <w:kern w:val="0"/>
                <w:sz w:val="18"/>
                <w:szCs w:val="18"/>
              </w:rPr>
            </w:pP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19" w:type="dxa"/>
            <w:tcBorders>
              <w:top w:val="nil"/>
              <w:left w:val="nil"/>
              <w:bottom w:val="nil"/>
              <w:right w:val="nil"/>
            </w:tcBorders>
            <w:shd w:val="clear" w:color="auto" w:fill="auto"/>
            <w:vAlign w:val="center"/>
          </w:tcPr>
          <w:p>
            <w:pPr>
              <w:widowControl/>
              <w:jc w:val="center"/>
              <w:rPr>
                <w:rFonts w:ascii="仿宋" w:hAnsi="仿宋" w:eastAsia="仿宋" w:cs="仿宋"/>
                <w:color w:val="000000" w:themeColor="text1"/>
                <w:kern w:val="0"/>
                <w:sz w:val="18"/>
                <w:szCs w:val="18"/>
              </w:rPr>
            </w:pPr>
          </w:p>
        </w:tc>
        <w:tc>
          <w:tcPr>
            <w:tcW w:w="520" w:type="dxa"/>
            <w:tcBorders>
              <w:top w:val="nil"/>
              <w:left w:val="nil"/>
              <w:bottom w:val="nil"/>
              <w:right w:val="nil"/>
            </w:tcBorders>
            <w:shd w:val="clear" w:color="auto" w:fill="auto"/>
            <w:vAlign w:val="center"/>
          </w:tcPr>
          <w:p>
            <w:pPr>
              <w:widowControl/>
              <w:jc w:val="center"/>
              <w:rPr>
                <w:rFonts w:ascii="仿宋" w:hAnsi="仿宋" w:eastAsia="仿宋" w:cs="仿宋"/>
                <w:color w:val="000000" w:themeColor="text1"/>
                <w:kern w:val="0"/>
                <w:sz w:val="18"/>
                <w:szCs w:val="18"/>
              </w:rPr>
            </w:pPr>
          </w:p>
        </w:tc>
        <w:tc>
          <w:tcPr>
            <w:tcW w:w="520" w:type="dxa"/>
            <w:tcBorders>
              <w:top w:val="nil"/>
              <w:left w:val="nil"/>
              <w:bottom w:val="nil"/>
              <w:right w:val="nil"/>
            </w:tcBorders>
            <w:shd w:val="clear" w:color="auto" w:fill="auto"/>
            <w:vAlign w:val="center"/>
          </w:tcPr>
          <w:p>
            <w:pPr>
              <w:widowControl/>
              <w:jc w:val="center"/>
              <w:rPr>
                <w:rFonts w:ascii="仿宋" w:hAnsi="仿宋" w:eastAsia="仿宋" w:cs="仿宋"/>
                <w:color w:val="000000" w:themeColor="text1"/>
                <w:kern w:val="0"/>
                <w:sz w:val="18"/>
                <w:szCs w:val="18"/>
              </w:rPr>
            </w:pPr>
          </w:p>
        </w:tc>
        <w:tc>
          <w:tcPr>
            <w:tcW w:w="520" w:type="dxa"/>
            <w:tcBorders>
              <w:top w:val="nil"/>
              <w:left w:val="nil"/>
              <w:bottom w:val="nil"/>
              <w:right w:val="nil"/>
            </w:tcBorders>
            <w:shd w:val="clear" w:color="auto" w:fill="auto"/>
            <w:vAlign w:val="center"/>
          </w:tcPr>
          <w:p>
            <w:pPr>
              <w:widowControl/>
              <w:jc w:val="center"/>
              <w:rPr>
                <w:rFonts w:ascii="仿宋" w:hAnsi="仿宋" w:eastAsia="仿宋" w:cs="仿宋"/>
                <w:color w:val="000000" w:themeColor="text1"/>
                <w:kern w:val="0"/>
                <w:sz w:val="18"/>
                <w:szCs w:val="18"/>
              </w:rPr>
            </w:pPr>
          </w:p>
        </w:tc>
        <w:tc>
          <w:tcPr>
            <w:tcW w:w="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32</w:t>
            </w:r>
          </w:p>
        </w:tc>
        <w:tc>
          <w:tcPr>
            <w:tcW w:w="5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544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262</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282</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专业核心课</w:t>
            </w:r>
          </w:p>
        </w:tc>
        <w:tc>
          <w:tcPr>
            <w:tcW w:w="97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E132110　</w:t>
            </w:r>
          </w:p>
        </w:tc>
        <w:tc>
          <w:tcPr>
            <w:tcW w:w="106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基础乐理　</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E132111</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声乐</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96</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E132112</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钢琴</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96</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E132113</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视唱练耳</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E132114</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中国音乐史</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E132115</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西方音乐史</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62</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E132116</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少儿歌曲分析及创作</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E132117</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和声</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E132118</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即兴伴奏</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E132119</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合唱与指挥</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E132120　</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少儿舞蹈创编</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2045" w:type="dxa"/>
            <w:gridSpan w:val="2"/>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50</w:t>
            </w:r>
          </w:p>
        </w:tc>
        <w:tc>
          <w:tcPr>
            <w:tcW w:w="5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12</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14</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14</w:t>
            </w:r>
          </w:p>
        </w:tc>
        <w:tc>
          <w:tcPr>
            <w:tcW w:w="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850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282</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568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52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专业拓展</w:t>
            </w:r>
          </w:p>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课</w:t>
            </w:r>
          </w:p>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选修</w:t>
            </w:r>
          </w:p>
        </w:tc>
        <w:tc>
          <w:tcPr>
            <w:tcW w:w="97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E132201　</w:t>
            </w:r>
          </w:p>
        </w:tc>
        <w:tc>
          <w:tcPr>
            <w:tcW w:w="106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民族器乐　</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完成10学分</w:t>
            </w: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E132202</w:t>
            </w:r>
          </w:p>
        </w:tc>
        <w:tc>
          <w:tcPr>
            <w:tcW w:w="1066"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音乐鉴赏</w:t>
            </w:r>
          </w:p>
        </w:tc>
        <w:tc>
          <w:tcPr>
            <w:tcW w:w="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E132203　</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剧目赏析</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E132204　</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儿歌弹唱</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E132205</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入编辅导</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85"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2045" w:type="dxa"/>
            <w:gridSpan w:val="2"/>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170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150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20</w:t>
            </w:r>
          </w:p>
        </w:tc>
        <w:tc>
          <w:tcPr>
            <w:tcW w:w="488" w:type="dxa"/>
            <w:tcBorders>
              <w:top w:val="nil"/>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2045" w:type="dxa"/>
            <w:gridSpan w:val="2"/>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周课时合计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38</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2346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1087</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1259</w:t>
            </w:r>
          </w:p>
        </w:tc>
        <w:tc>
          <w:tcPr>
            <w:tcW w:w="488"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实践课</w:t>
            </w:r>
          </w:p>
        </w:tc>
        <w:tc>
          <w:tcPr>
            <w:tcW w:w="42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实践课</w:t>
            </w:r>
          </w:p>
        </w:tc>
        <w:tc>
          <w:tcPr>
            <w:tcW w:w="9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军事技能</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112</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112</w:t>
            </w:r>
          </w:p>
        </w:tc>
        <w:tc>
          <w:tcPr>
            <w:tcW w:w="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教育见习</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156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122</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教育实习</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102</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含毕业设计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102</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106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0</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426"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20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应修学分小计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16</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540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102</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438</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r>
        <w:tblPrEx>
          <w:tblLayout w:type="fixed"/>
          <w:tblCellMar>
            <w:top w:w="0" w:type="dxa"/>
            <w:left w:w="108" w:type="dxa"/>
            <w:bottom w:w="0" w:type="dxa"/>
            <w:right w:w="108" w:type="dxa"/>
          </w:tblCellMar>
        </w:tblPrEx>
        <w:trPr>
          <w:trHeight w:val="270" w:hRule="atLeast"/>
        </w:trPr>
        <w:tc>
          <w:tcPr>
            <w:tcW w:w="28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学分合计</w:t>
            </w:r>
          </w:p>
        </w:tc>
        <w:tc>
          <w:tcPr>
            <w:tcW w:w="53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160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39</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29</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39</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w:t>
            </w:r>
          </w:p>
        </w:tc>
        <w:tc>
          <w:tcPr>
            <w:tcW w:w="59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16</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2886</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1189</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1697</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w:t>
            </w: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r>
    </w:tbl>
    <w:p>
      <w:pPr>
        <w:ind w:firstLine="422" w:firstLineChars="200"/>
        <w:rPr>
          <w:rFonts w:ascii="仿宋_GB2312" w:hAnsi="仿宋_GB2312" w:eastAsia="仿宋_GB2312" w:cs="仿宋_GB2312"/>
          <w:b/>
          <w:bCs/>
          <w:color w:val="000000" w:themeColor="text1"/>
          <w:szCs w:val="21"/>
        </w:rPr>
      </w:pPr>
      <w:r>
        <w:rPr>
          <w:rFonts w:hint="eastAsia" w:ascii="仿宋" w:hAnsi="仿宋" w:eastAsia="仿宋" w:cs="仿宋"/>
          <w:b/>
          <w:bCs/>
          <w:color w:val="000000" w:themeColor="text1"/>
          <w:szCs w:val="21"/>
        </w:rPr>
        <w:t>（四）学分及学时比例表</w:t>
      </w:r>
    </w:p>
    <w:tbl>
      <w:tblPr>
        <w:tblStyle w:val="16"/>
        <w:tblW w:w="9854" w:type="dxa"/>
        <w:tblInd w:w="0" w:type="dxa"/>
        <w:tblLayout w:type="fixed"/>
        <w:tblCellMar>
          <w:top w:w="0" w:type="dxa"/>
          <w:left w:w="108" w:type="dxa"/>
          <w:bottom w:w="0" w:type="dxa"/>
          <w:right w:w="108" w:type="dxa"/>
        </w:tblCellMar>
      </w:tblPr>
      <w:tblGrid>
        <w:gridCol w:w="965"/>
        <w:gridCol w:w="965"/>
        <w:gridCol w:w="1058"/>
        <w:gridCol w:w="965"/>
        <w:gridCol w:w="965"/>
        <w:gridCol w:w="1223"/>
        <w:gridCol w:w="1001"/>
        <w:gridCol w:w="1176"/>
        <w:gridCol w:w="1536"/>
      </w:tblGrid>
      <w:tr>
        <w:tblPrEx>
          <w:tblLayout w:type="fixed"/>
          <w:tblCellMar>
            <w:top w:w="0" w:type="dxa"/>
            <w:left w:w="108" w:type="dxa"/>
            <w:bottom w:w="0" w:type="dxa"/>
            <w:right w:w="108" w:type="dxa"/>
          </w:tblCellMar>
        </w:tblPrEx>
        <w:trPr>
          <w:trHeight w:val="525" w:hRule="atLeast"/>
        </w:trPr>
        <w:tc>
          <w:tcPr>
            <w:tcW w:w="19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课程类型</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学分</w:t>
            </w:r>
          </w:p>
        </w:tc>
        <w:tc>
          <w:tcPr>
            <w:tcW w:w="415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修读学时及比例</w:t>
            </w:r>
          </w:p>
        </w:tc>
        <w:tc>
          <w:tcPr>
            <w:tcW w:w="2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实践学时及比例</w:t>
            </w:r>
          </w:p>
        </w:tc>
      </w:tr>
      <w:tr>
        <w:tblPrEx>
          <w:tblLayout w:type="fixed"/>
          <w:tblCellMar>
            <w:top w:w="0" w:type="dxa"/>
            <w:left w:w="108" w:type="dxa"/>
            <w:bottom w:w="0" w:type="dxa"/>
            <w:right w:w="108" w:type="dxa"/>
          </w:tblCellMar>
        </w:tblPrEx>
        <w:trPr>
          <w:trHeight w:val="420" w:hRule="atLeast"/>
        </w:trPr>
        <w:tc>
          <w:tcPr>
            <w:tcW w:w="19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合计学时</w:t>
            </w:r>
          </w:p>
        </w:tc>
        <w:tc>
          <w:tcPr>
            <w:tcW w:w="22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占总学时（%）</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实践学时</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实践/总学时</w:t>
            </w:r>
          </w:p>
        </w:tc>
      </w:tr>
      <w:tr>
        <w:tblPrEx>
          <w:tblLayout w:type="fixed"/>
          <w:tblCellMar>
            <w:top w:w="0" w:type="dxa"/>
            <w:left w:w="108" w:type="dxa"/>
            <w:bottom w:w="0" w:type="dxa"/>
            <w:right w:w="108" w:type="dxa"/>
          </w:tblCellMar>
        </w:tblPrEx>
        <w:trPr>
          <w:trHeight w:val="510" w:hRule="atLeast"/>
        </w:trPr>
        <w:tc>
          <w:tcPr>
            <w:tcW w:w="9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公共课</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公共基础必修课程</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38</w:t>
            </w:r>
          </w:p>
        </w:tc>
        <w:tc>
          <w:tcPr>
            <w:tcW w:w="9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782</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646</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22.38%</w:t>
            </w:r>
          </w:p>
        </w:tc>
        <w:tc>
          <w:tcPr>
            <w:tcW w:w="10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27.10%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338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11.71%</w:t>
            </w:r>
          </w:p>
        </w:tc>
      </w:tr>
      <w:tr>
        <w:tblPrEx>
          <w:tblLayout w:type="fixed"/>
          <w:tblCellMar>
            <w:top w:w="0" w:type="dxa"/>
            <w:left w:w="108" w:type="dxa"/>
            <w:bottom w:w="0" w:type="dxa"/>
            <w:right w:w="108" w:type="dxa"/>
          </w:tblCellMar>
        </w:tblPrEx>
        <w:trPr>
          <w:trHeight w:val="510" w:hRule="atLeast"/>
        </w:trPr>
        <w:tc>
          <w:tcPr>
            <w:tcW w:w="96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公共基础选修课程</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8</w:t>
            </w:r>
          </w:p>
        </w:tc>
        <w:tc>
          <w:tcPr>
            <w:tcW w:w="96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136</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4.71%</w:t>
            </w:r>
          </w:p>
        </w:tc>
        <w:tc>
          <w:tcPr>
            <w:tcW w:w="10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color w:val="000000" w:themeColor="text1"/>
                <w:kern w:val="0"/>
                <w:sz w:val="18"/>
                <w:szCs w:val="18"/>
              </w:rPr>
            </w:pP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 xml:space="preserve">51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themeColor="text1"/>
                <w:kern w:val="0"/>
                <w:sz w:val="18"/>
                <w:szCs w:val="18"/>
              </w:rPr>
            </w:pPr>
            <w:r>
              <w:rPr>
                <w:rFonts w:hint="eastAsia" w:ascii="仿宋" w:hAnsi="仿宋" w:eastAsia="仿宋" w:cs="仿宋"/>
                <w:color w:val="000000" w:themeColor="text1"/>
                <w:kern w:val="0"/>
                <w:sz w:val="18"/>
                <w:szCs w:val="18"/>
              </w:rPr>
              <w:t>1.77%</w:t>
            </w:r>
          </w:p>
        </w:tc>
      </w:tr>
      <w:tr>
        <w:tblPrEx>
          <w:tblLayout w:type="fixed"/>
          <w:tblCellMar>
            <w:top w:w="0" w:type="dxa"/>
            <w:left w:w="108" w:type="dxa"/>
            <w:bottom w:w="0" w:type="dxa"/>
            <w:right w:w="108" w:type="dxa"/>
          </w:tblCellMar>
        </w:tblPrEx>
        <w:trPr>
          <w:trHeight w:val="525" w:hRule="atLeast"/>
        </w:trPr>
        <w:tc>
          <w:tcPr>
            <w:tcW w:w="96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专科课程</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专业基础课程</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32</w:t>
            </w:r>
          </w:p>
        </w:tc>
        <w:tc>
          <w:tcPr>
            <w:tcW w:w="9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1394</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544</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18.85%</w:t>
            </w:r>
          </w:p>
        </w:tc>
        <w:tc>
          <w:tcPr>
            <w:tcW w:w="10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48.30%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xml:space="preserve">282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9.77%</w:t>
            </w:r>
          </w:p>
        </w:tc>
      </w:tr>
      <w:tr>
        <w:tblPrEx>
          <w:tblLayout w:type="fixed"/>
          <w:tblCellMar>
            <w:top w:w="0" w:type="dxa"/>
            <w:left w:w="108" w:type="dxa"/>
            <w:bottom w:w="0" w:type="dxa"/>
            <w:right w:w="108" w:type="dxa"/>
          </w:tblCellMar>
        </w:tblPrEx>
        <w:trPr>
          <w:trHeight w:val="525" w:hRule="atLeast"/>
        </w:trPr>
        <w:tc>
          <w:tcPr>
            <w:tcW w:w="96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专业核心课程</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50</w:t>
            </w:r>
          </w:p>
        </w:tc>
        <w:tc>
          <w:tcPr>
            <w:tcW w:w="96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850</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29.45%</w:t>
            </w:r>
          </w:p>
        </w:tc>
        <w:tc>
          <w:tcPr>
            <w:tcW w:w="10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18"/>
                <w:szCs w:val="18"/>
              </w:rPr>
            </w:pP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xml:space="preserve">568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19.68%</w:t>
            </w:r>
          </w:p>
        </w:tc>
      </w:tr>
      <w:tr>
        <w:tblPrEx>
          <w:tblLayout w:type="fixed"/>
          <w:tblCellMar>
            <w:top w:w="0" w:type="dxa"/>
            <w:left w:w="108" w:type="dxa"/>
            <w:bottom w:w="0" w:type="dxa"/>
            <w:right w:w="108" w:type="dxa"/>
          </w:tblCellMar>
        </w:tblPrEx>
        <w:trPr>
          <w:trHeight w:val="525" w:hRule="atLeast"/>
        </w:trPr>
        <w:tc>
          <w:tcPr>
            <w:tcW w:w="965"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专业拓展课程</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170</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5.89%</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5.89%</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xml:space="preserve">20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0.69%</w:t>
            </w:r>
          </w:p>
        </w:tc>
      </w:tr>
      <w:tr>
        <w:tblPrEx>
          <w:tblLayout w:type="fixed"/>
          <w:tblCellMar>
            <w:top w:w="0" w:type="dxa"/>
            <w:left w:w="108" w:type="dxa"/>
            <w:bottom w:w="0" w:type="dxa"/>
            <w:right w:w="108" w:type="dxa"/>
          </w:tblCellMar>
        </w:tblPrEx>
        <w:trPr>
          <w:trHeight w:val="499"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教育实践</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教育实践</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24</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540</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540</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18.71%</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18.71%</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xml:space="preserve">438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15.18%</w:t>
            </w:r>
          </w:p>
        </w:tc>
      </w:tr>
      <w:tr>
        <w:tblPrEx>
          <w:tblLayout w:type="fixed"/>
          <w:tblCellMar>
            <w:top w:w="0" w:type="dxa"/>
            <w:left w:w="108" w:type="dxa"/>
            <w:bottom w:w="0" w:type="dxa"/>
            <w:right w:w="108" w:type="dxa"/>
          </w:tblCellMar>
        </w:tblPrEx>
        <w:trPr>
          <w:trHeight w:val="285" w:hRule="atLeast"/>
        </w:trPr>
        <w:tc>
          <w:tcPr>
            <w:tcW w:w="9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合计</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162</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2886</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2886</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100.00%</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100.00%</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 xml:space="preserve">1697 </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58.80%</w:t>
            </w:r>
          </w:p>
        </w:tc>
      </w:tr>
    </w:tbl>
    <w:p>
      <w:pPr>
        <w:ind w:firstLine="360" w:firstLineChars="200"/>
        <w:rPr>
          <w:rFonts w:ascii="黑体" w:hAnsi="黑体" w:eastAsia="黑体" w:cs="黑体"/>
          <w:sz w:val="18"/>
          <w:szCs w:val="18"/>
        </w:rPr>
      </w:pPr>
    </w:p>
    <w:p>
      <w:pPr>
        <w:ind w:firstLine="480" w:firstLineChars="200"/>
        <w:rPr>
          <w:rFonts w:ascii="黑体" w:hAnsi="黑体" w:eastAsia="黑体" w:cs="黑体"/>
          <w:sz w:val="24"/>
          <w:szCs w:val="24"/>
        </w:rPr>
      </w:pPr>
      <w:r>
        <w:rPr>
          <w:rFonts w:hint="eastAsia" w:ascii="黑体" w:hAnsi="黑体" w:eastAsia="黑体" w:cs="黑体"/>
          <w:sz w:val="24"/>
          <w:szCs w:val="24"/>
        </w:rPr>
        <w:t>九、实施保障</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（一）师资队伍</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1.基本情况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教师配置需达到本科以上学历，所学专业需与承担的专业课程紧密联系，或有丰富的小学一线教学经验，具有高等学校教师任职资格。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应具有良好的教师职业道德修养，雄厚的人文科学、社会科学知识和学科专业理论知识素养。 具备扎实的教育专业知识和技能，拥有较深厚教育科学理论知识，理解基础教育领域的前沿动态。 </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2．校内现任教师情况</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音乐教育专业现有专任教师26人，其中具有副高级职称的教师6人，占专业课教师的23%；具有硕士学位的教师11人，占专业课教师的42.3%。另外，我校长期聘请有丰富实践经验的小学音乐骨干教师、专家任教专业课程或举办讲座等。 </w:t>
      </w: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（二）教学设施</w:t>
      </w:r>
    </w:p>
    <w:p>
      <w:pPr>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1.校内实训室</w:t>
      </w:r>
    </w:p>
    <w:tbl>
      <w:tblPr>
        <w:tblStyle w:val="16"/>
        <w:tblW w:w="9579" w:type="dxa"/>
        <w:jc w:val="center"/>
        <w:tblInd w:w="-1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935"/>
        <w:gridCol w:w="2895"/>
        <w:gridCol w:w="1642"/>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jc w:val="center"/>
              <w:rPr>
                <w:rFonts w:ascii="仿宋" w:hAnsi="仿宋" w:eastAsia="仿宋" w:cs="仿宋"/>
                <w:sz w:val="18"/>
                <w:szCs w:val="18"/>
              </w:rPr>
            </w:pPr>
            <w:r>
              <w:rPr>
                <w:rFonts w:hint="eastAsia" w:ascii="仿宋" w:hAnsi="仿宋" w:eastAsia="仿宋" w:cs="仿宋"/>
                <w:sz w:val="18"/>
                <w:szCs w:val="18"/>
              </w:rPr>
              <w:t>序号</w:t>
            </w:r>
          </w:p>
        </w:tc>
        <w:tc>
          <w:tcPr>
            <w:tcW w:w="1935" w:type="dxa"/>
          </w:tcPr>
          <w:p>
            <w:pPr>
              <w:jc w:val="center"/>
              <w:rPr>
                <w:rFonts w:ascii="仿宋" w:hAnsi="仿宋" w:eastAsia="仿宋" w:cs="仿宋"/>
                <w:sz w:val="18"/>
                <w:szCs w:val="18"/>
              </w:rPr>
            </w:pPr>
            <w:r>
              <w:rPr>
                <w:rFonts w:hint="eastAsia" w:ascii="仿宋" w:hAnsi="仿宋" w:eastAsia="仿宋" w:cs="仿宋"/>
                <w:sz w:val="18"/>
                <w:szCs w:val="18"/>
              </w:rPr>
              <w:t>校内实训名称</w:t>
            </w:r>
          </w:p>
        </w:tc>
        <w:tc>
          <w:tcPr>
            <w:tcW w:w="2895" w:type="dxa"/>
          </w:tcPr>
          <w:p>
            <w:pPr>
              <w:jc w:val="center"/>
              <w:rPr>
                <w:rFonts w:ascii="仿宋" w:hAnsi="仿宋" w:eastAsia="仿宋" w:cs="仿宋"/>
                <w:sz w:val="18"/>
                <w:szCs w:val="18"/>
              </w:rPr>
            </w:pPr>
            <w:r>
              <w:rPr>
                <w:rFonts w:hint="eastAsia" w:ascii="仿宋" w:hAnsi="仿宋" w:eastAsia="仿宋" w:cs="仿宋"/>
                <w:sz w:val="18"/>
                <w:szCs w:val="18"/>
              </w:rPr>
              <w:t>主要设备</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主要功能</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1</w:t>
            </w:r>
          </w:p>
        </w:tc>
        <w:tc>
          <w:tcPr>
            <w:tcW w:w="1935" w:type="dxa"/>
          </w:tcPr>
          <w:p>
            <w:pPr>
              <w:rPr>
                <w:rFonts w:ascii="仿宋" w:hAnsi="仿宋" w:eastAsia="仿宋" w:cs="仿宋"/>
                <w:sz w:val="18"/>
                <w:szCs w:val="18"/>
              </w:rPr>
            </w:pPr>
            <w:r>
              <w:rPr>
                <w:rFonts w:hint="eastAsia" w:ascii="仿宋" w:hAnsi="仿宋" w:eastAsia="仿宋" w:cs="仿宋"/>
                <w:sz w:val="18"/>
                <w:szCs w:val="18"/>
              </w:rPr>
              <w:t>舞蹈训练室</w:t>
            </w:r>
          </w:p>
        </w:tc>
        <w:tc>
          <w:tcPr>
            <w:tcW w:w="2895" w:type="dxa"/>
          </w:tcPr>
          <w:p>
            <w:pPr>
              <w:rPr>
                <w:rFonts w:ascii="仿宋" w:hAnsi="仿宋" w:eastAsia="仿宋" w:cs="仿宋"/>
                <w:sz w:val="18"/>
                <w:szCs w:val="18"/>
              </w:rPr>
            </w:pPr>
            <w:r>
              <w:rPr>
                <w:rFonts w:hint="eastAsia" w:ascii="仿宋" w:hAnsi="仿宋" w:eastAsia="仿宋" w:cs="仿宋"/>
                <w:sz w:val="18"/>
                <w:szCs w:val="18"/>
              </w:rPr>
              <w:t>地板、把杆、镜子、空调</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舞蹈教学</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少儿舞蹈创编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2</w:t>
            </w:r>
          </w:p>
        </w:tc>
        <w:tc>
          <w:tcPr>
            <w:tcW w:w="1935" w:type="dxa"/>
          </w:tcPr>
          <w:p>
            <w:pPr>
              <w:rPr>
                <w:rFonts w:ascii="仿宋" w:hAnsi="仿宋" w:eastAsia="仿宋" w:cs="仿宋"/>
                <w:sz w:val="18"/>
                <w:szCs w:val="18"/>
              </w:rPr>
            </w:pPr>
            <w:r>
              <w:rPr>
                <w:rFonts w:hint="eastAsia" w:ascii="仿宋" w:hAnsi="仿宋" w:eastAsia="仿宋" w:cs="仿宋"/>
                <w:sz w:val="18"/>
                <w:szCs w:val="18"/>
              </w:rPr>
              <w:t>数码钢琴教室</w:t>
            </w:r>
          </w:p>
        </w:tc>
        <w:tc>
          <w:tcPr>
            <w:tcW w:w="2895" w:type="dxa"/>
          </w:tcPr>
          <w:p>
            <w:pPr>
              <w:rPr>
                <w:rFonts w:ascii="仿宋" w:hAnsi="仿宋" w:eastAsia="仿宋" w:cs="仿宋"/>
                <w:sz w:val="18"/>
                <w:szCs w:val="18"/>
              </w:rPr>
            </w:pPr>
            <w:r>
              <w:rPr>
                <w:rFonts w:hint="eastAsia" w:ascii="仿宋" w:hAnsi="仿宋" w:eastAsia="仿宋" w:cs="仿宋"/>
                <w:sz w:val="18"/>
                <w:szCs w:val="18"/>
              </w:rPr>
              <w:t>电子钢琴、黑板、多媒体</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钢琴教学及其他</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钢琴课、即兴伴奏可课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3</w:t>
            </w:r>
          </w:p>
        </w:tc>
        <w:tc>
          <w:tcPr>
            <w:tcW w:w="1935" w:type="dxa"/>
          </w:tcPr>
          <w:p>
            <w:pPr>
              <w:rPr>
                <w:rFonts w:ascii="仿宋" w:hAnsi="仿宋" w:eastAsia="仿宋" w:cs="仿宋"/>
                <w:sz w:val="18"/>
                <w:szCs w:val="18"/>
              </w:rPr>
            </w:pPr>
            <w:r>
              <w:rPr>
                <w:rFonts w:hint="eastAsia" w:ascii="仿宋" w:hAnsi="仿宋" w:eastAsia="仿宋" w:cs="仿宋"/>
                <w:sz w:val="18"/>
                <w:szCs w:val="18"/>
              </w:rPr>
              <w:t>视唱练耳教室</w:t>
            </w:r>
          </w:p>
        </w:tc>
        <w:tc>
          <w:tcPr>
            <w:tcW w:w="2895" w:type="dxa"/>
          </w:tcPr>
          <w:p>
            <w:pPr>
              <w:rPr>
                <w:rFonts w:ascii="仿宋" w:hAnsi="仿宋" w:eastAsia="仿宋" w:cs="仿宋"/>
                <w:sz w:val="18"/>
                <w:szCs w:val="18"/>
              </w:rPr>
            </w:pPr>
            <w:r>
              <w:rPr>
                <w:rFonts w:hint="eastAsia" w:ascii="仿宋" w:hAnsi="仿宋" w:eastAsia="仿宋" w:cs="仿宋"/>
                <w:sz w:val="18"/>
                <w:szCs w:val="18"/>
              </w:rPr>
              <w:t>五线谱钢琴、钢琴、多媒体</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视唱练耳及理论课教学</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视唱练耳课、和声课、乐理课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4</w:t>
            </w:r>
          </w:p>
        </w:tc>
        <w:tc>
          <w:tcPr>
            <w:tcW w:w="1935" w:type="dxa"/>
          </w:tcPr>
          <w:p>
            <w:pPr>
              <w:rPr>
                <w:rFonts w:ascii="仿宋" w:hAnsi="仿宋" w:eastAsia="仿宋" w:cs="仿宋"/>
                <w:sz w:val="18"/>
                <w:szCs w:val="18"/>
              </w:rPr>
            </w:pPr>
            <w:r>
              <w:rPr>
                <w:rFonts w:hint="eastAsia" w:ascii="仿宋" w:hAnsi="仿宋" w:eastAsia="仿宋" w:cs="仿宋"/>
                <w:sz w:val="18"/>
                <w:szCs w:val="18"/>
              </w:rPr>
              <w:t>合唱教室</w:t>
            </w:r>
          </w:p>
        </w:tc>
        <w:tc>
          <w:tcPr>
            <w:tcW w:w="2895" w:type="dxa"/>
          </w:tcPr>
          <w:p>
            <w:pPr>
              <w:rPr>
                <w:rFonts w:ascii="仿宋" w:hAnsi="仿宋" w:eastAsia="仿宋" w:cs="仿宋"/>
                <w:sz w:val="18"/>
                <w:szCs w:val="18"/>
              </w:rPr>
            </w:pPr>
            <w:r>
              <w:rPr>
                <w:rFonts w:hint="eastAsia" w:ascii="仿宋" w:hAnsi="仿宋" w:eastAsia="仿宋" w:cs="仿宋"/>
                <w:sz w:val="18"/>
                <w:szCs w:val="18"/>
              </w:rPr>
              <w:t>黑板、钢琴、合唱台、多媒体</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合唱教学及排练</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合唱与指挥课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5</w:t>
            </w:r>
          </w:p>
        </w:tc>
        <w:tc>
          <w:tcPr>
            <w:tcW w:w="1935" w:type="dxa"/>
          </w:tcPr>
          <w:p>
            <w:pPr>
              <w:rPr>
                <w:rFonts w:ascii="仿宋" w:hAnsi="仿宋" w:eastAsia="仿宋" w:cs="仿宋"/>
                <w:sz w:val="18"/>
                <w:szCs w:val="18"/>
              </w:rPr>
            </w:pPr>
            <w:r>
              <w:rPr>
                <w:rFonts w:hint="eastAsia" w:ascii="仿宋" w:hAnsi="仿宋" w:eastAsia="仿宋" w:cs="仿宋"/>
                <w:sz w:val="18"/>
                <w:szCs w:val="18"/>
              </w:rPr>
              <w:t>MIDI音乐工作室</w:t>
            </w:r>
          </w:p>
        </w:tc>
        <w:tc>
          <w:tcPr>
            <w:tcW w:w="2895" w:type="dxa"/>
          </w:tcPr>
          <w:p>
            <w:pPr>
              <w:rPr>
                <w:rFonts w:ascii="仿宋" w:hAnsi="仿宋" w:eastAsia="仿宋" w:cs="仿宋"/>
                <w:sz w:val="18"/>
                <w:szCs w:val="18"/>
              </w:rPr>
            </w:pPr>
            <w:r>
              <w:rPr>
                <w:rFonts w:hint="eastAsia" w:ascii="仿宋" w:hAnsi="仿宋" w:eastAsia="仿宋" w:cs="仿宋"/>
                <w:sz w:val="18"/>
                <w:szCs w:val="18"/>
              </w:rPr>
              <w:t>全套MIDI设备</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电脑音乐制作及教学</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电脑音乐制作课程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rPr>
                <w:rFonts w:ascii="仿宋" w:hAnsi="仿宋" w:eastAsia="仿宋" w:cs="仿宋"/>
                <w:sz w:val="18"/>
                <w:szCs w:val="18"/>
              </w:rPr>
            </w:pPr>
            <w:r>
              <w:rPr>
                <w:rFonts w:hint="eastAsia" w:ascii="仿宋" w:hAnsi="仿宋" w:eastAsia="仿宋" w:cs="仿宋"/>
                <w:sz w:val="18"/>
                <w:szCs w:val="18"/>
              </w:rPr>
              <w:t>6</w:t>
            </w:r>
          </w:p>
        </w:tc>
        <w:tc>
          <w:tcPr>
            <w:tcW w:w="1935" w:type="dxa"/>
          </w:tcPr>
          <w:p>
            <w:pPr>
              <w:rPr>
                <w:rFonts w:ascii="仿宋" w:hAnsi="仿宋" w:eastAsia="仿宋" w:cs="仿宋"/>
                <w:sz w:val="18"/>
                <w:szCs w:val="18"/>
              </w:rPr>
            </w:pPr>
            <w:r>
              <w:rPr>
                <w:rFonts w:hint="eastAsia" w:ascii="仿宋" w:hAnsi="仿宋" w:eastAsia="仿宋" w:cs="仿宋"/>
                <w:sz w:val="18"/>
                <w:szCs w:val="18"/>
              </w:rPr>
              <w:t>钢琴琴房</w:t>
            </w:r>
          </w:p>
        </w:tc>
        <w:tc>
          <w:tcPr>
            <w:tcW w:w="2895" w:type="dxa"/>
          </w:tcPr>
          <w:p>
            <w:pPr>
              <w:rPr>
                <w:rFonts w:ascii="仿宋" w:hAnsi="仿宋" w:eastAsia="仿宋" w:cs="仿宋"/>
                <w:sz w:val="18"/>
                <w:szCs w:val="18"/>
              </w:rPr>
            </w:pPr>
            <w:r>
              <w:rPr>
                <w:rFonts w:hint="eastAsia" w:ascii="仿宋" w:hAnsi="仿宋" w:eastAsia="仿宋" w:cs="仿宋"/>
                <w:sz w:val="18"/>
                <w:szCs w:val="18"/>
              </w:rPr>
              <w:t>钢琴、镜子、智慧管理系统</w:t>
            </w:r>
          </w:p>
        </w:tc>
        <w:tc>
          <w:tcPr>
            <w:tcW w:w="1642" w:type="dxa"/>
          </w:tcPr>
          <w:p>
            <w:pPr>
              <w:jc w:val="center"/>
              <w:rPr>
                <w:rFonts w:ascii="仿宋" w:hAnsi="仿宋" w:eastAsia="仿宋" w:cs="仿宋"/>
                <w:sz w:val="18"/>
                <w:szCs w:val="18"/>
              </w:rPr>
            </w:pPr>
            <w:r>
              <w:rPr>
                <w:rFonts w:hint="eastAsia" w:ascii="仿宋" w:hAnsi="仿宋" w:eastAsia="仿宋" w:cs="仿宋"/>
                <w:sz w:val="18"/>
                <w:szCs w:val="18"/>
              </w:rPr>
              <w:t>钢琴、声乐教学及学生练习</w:t>
            </w:r>
          </w:p>
        </w:tc>
        <w:tc>
          <w:tcPr>
            <w:tcW w:w="2284" w:type="dxa"/>
          </w:tcPr>
          <w:p>
            <w:pPr>
              <w:jc w:val="center"/>
              <w:rPr>
                <w:rFonts w:ascii="仿宋" w:hAnsi="仿宋" w:eastAsia="仿宋" w:cs="仿宋"/>
                <w:sz w:val="18"/>
                <w:szCs w:val="18"/>
              </w:rPr>
            </w:pPr>
            <w:r>
              <w:rPr>
                <w:rFonts w:hint="eastAsia" w:ascii="仿宋" w:hAnsi="仿宋" w:eastAsia="仿宋" w:cs="仿宋"/>
                <w:sz w:val="18"/>
                <w:szCs w:val="18"/>
              </w:rPr>
              <w:t>钢琴课、声乐课</w:t>
            </w:r>
          </w:p>
        </w:tc>
      </w:tr>
    </w:tbl>
    <w:p>
      <w:pPr>
        <w:pStyle w:val="98"/>
        <w:ind w:firstLine="210" w:firstLineChars="100"/>
        <w:rPr>
          <w:rFonts w:ascii="仿宋_GB2312" w:hAnsi="仿宋_GB2312" w:eastAsia="仿宋_GB2312" w:cs="仿宋_GB2312"/>
          <w:szCs w:val="21"/>
        </w:rPr>
      </w:pPr>
    </w:p>
    <w:p>
      <w:pPr>
        <w:pStyle w:val="98"/>
        <w:ind w:firstLine="211" w:firstLineChars="100"/>
        <w:rPr>
          <w:rFonts w:ascii="仿宋_GB2312" w:hAnsi="仿宋_GB2312" w:eastAsia="仿宋_GB2312" w:cs="仿宋_GB2312"/>
          <w:b/>
          <w:bCs/>
          <w:szCs w:val="21"/>
        </w:rPr>
      </w:pPr>
      <w:r>
        <w:rPr>
          <w:rFonts w:hint="eastAsia" w:ascii="仿宋_GB2312" w:hAnsi="仿宋_GB2312" w:eastAsia="仿宋_GB2312" w:cs="仿宋_GB2312"/>
          <w:b/>
          <w:bCs/>
          <w:szCs w:val="21"/>
        </w:rPr>
        <w:t>2.校外实训基地</w:t>
      </w:r>
    </w:p>
    <w:tbl>
      <w:tblPr>
        <w:tblStyle w:val="16"/>
        <w:tblW w:w="9434" w:type="dxa"/>
        <w:jc w:val="center"/>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25"/>
        <w:gridCol w:w="1861"/>
        <w:gridCol w:w="1559"/>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780"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序号</w:t>
            </w:r>
          </w:p>
        </w:tc>
        <w:tc>
          <w:tcPr>
            <w:tcW w:w="1725"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实训基地名称</w:t>
            </w:r>
          </w:p>
        </w:tc>
        <w:tc>
          <w:tcPr>
            <w:tcW w:w="1861"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主要实训项目</w:t>
            </w:r>
          </w:p>
        </w:tc>
        <w:tc>
          <w:tcPr>
            <w:tcW w:w="155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实训设备</w:t>
            </w:r>
          </w:p>
        </w:tc>
        <w:tc>
          <w:tcPr>
            <w:tcW w:w="350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1</w:t>
            </w:r>
          </w:p>
        </w:tc>
        <w:tc>
          <w:tcPr>
            <w:tcW w:w="1725"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实验小学</w:t>
            </w:r>
          </w:p>
        </w:tc>
        <w:tc>
          <w:tcPr>
            <w:tcW w:w="1861"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见习、实习</w:t>
            </w:r>
          </w:p>
        </w:tc>
        <w:tc>
          <w:tcPr>
            <w:tcW w:w="155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多媒体教室、乐器</w:t>
            </w:r>
          </w:p>
        </w:tc>
        <w:tc>
          <w:tcPr>
            <w:tcW w:w="350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通过与实习学校的对接，共同完成完整的见习、实习过程。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2</w:t>
            </w:r>
          </w:p>
        </w:tc>
        <w:tc>
          <w:tcPr>
            <w:tcW w:w="1725"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北城小学</w:t>
            </w:r>
          </w:p>
        </w:tc>
        <w:tc>
          <w:tcPr>
            <w:tcW w:w="1861"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见习、实习</w:t>
            </w:r>
          </w:p>
        </w:tc>
        <w:tc>
          <w:tcPr>
            <w:tcW w:w="155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多媒体教室、乐器</w:t>
            </w:r>
          </w:p>
        </w:tc>
        <w:tc>
          <w:tcPr>
            <w:tcW w:w="350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通过与实习学校的对接，共同完成完整的见习、实习过程。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3</w:t>
            </w:r>
          </w:p>
        </w:tc>
        <w:tc>
          <w:tcPr>
            <w:tcW w:w="1725"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城南小学</w:t>
            </w:r>
          </w:p>
        </w:tc>
        <w:tc>
          <w:tcPr>
            <w:tcW w:w="1861"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见习、实习</w:t>
            </w:r>
          </w:p>
        </w:tc>
        <w:tc>
          <w:tcPr>
            <w:tcW w:w="155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多媒体教室、乐器</w:t>
            </w:r>
          </w:p>
        </w:tc>
        <w:tc>
          <w:tcPr>
            <w:tcW w:w="350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通过与实习学校的对接，共同完成完整的见习、实习过程。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4</w:t>
            </w:r>
          </w:p>
        </w:tc>
        <w:tc>
          <w:tcPr>
            <w:tcW w:w="1725"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刘琦小学</w:t>
            </w:r>
          </w:p>
        </w:tc>
        <w:tc>
          <w:tcPr>
            <w:tcW w:w="1861"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见习、实习</w:t>
            </w:r>
          </w:p>
        </w:tc>
        <w:tc>
          <w:tcPr>
            <w:tcW w:w="155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多媒体教室、乐器</w:t>
            </w:r>
          </w:p>
        </w:tc>
        <w:tc>
          <w:tcPr>
            <w:tcW w:w="3509" w:type="dxa"/>
          </w:tcPr>
          <w:p>
            <w:pPr>
              <w:pStyle w:val="98"/>
              <w:ind w:firstLine="0" w:firstLineChars="0"/>
              <w:rPr>
                <w:rFonts w:ascii="仿宋" w:hAnsi="仿宋" w:eastAsia="仿宋" w:cs="仿宋"/>
                <w:sz w:val="18"/>
                <w:szCs w:val="18"/>
              </w:rPr>
            </w:pPr>
            <w:r>
              <w:rPr>
                <w:rFonts w:hint="eastAsia" w:ascii="仿宋" w:hAnsi="仿宋" w:eastAsia="仿宋" w:cs="仿宋"/>
                <w:sz w:val="18"/>
                <w:szCs w:val="18"/>
              </w:rPr>
              <w:t>通过与实习学校的对接，共同完成完整的见习、实习过程。</w:t>
            </w:r>
          </w:p>
        </w:tc>
      </w:tr>
    </w:tbl>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（三）教学资源</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1.教材使用及开发情况</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教材选用教育部推荐的优质教材。</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2.图书</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系内有阅览室，并依托校图书馆等共享图书资源。</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（四）教学方法</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1．教学模式</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由常规教学和实践教学两大部分构成，常规教学以教师集体授课和小组授课相结合。实践教学通过开展各类技能大赛，专业实践、专业观摩、专家讲座等形式实现。</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2.教学方法</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常用的教学方法有讲授法、练习法、示范法、观摩教学法等。</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3.教学评价与考核</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通过考查、考试等定性、定量的方法进行考核评价。</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（五）质量管理</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1.根据人才培养方案实施细则，开展规范化、科学化、程序化教学，并对学生和教师的教学状况进行全方位的评价管理。</w:t>
      </w:r>
    </w:p>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2.加强G—U—S的连接，积极推进职前职后一体化培训。</w:t>
      </w:r>
    </w:p>
    <w:p>
      <w:pPr>
        <w:rPr>
          <w:rFonts w:ascii="仿宋_GB2312" w:hAnsi="仿宋_GB2312" w:eastAsia="仿宋_GB2312" w:cs="仿宋_GB2312"/>
          <w:szCs w:val="21"/>
        </w:rPr>
      </w:pPr>
    </w:p>
    <w:p>
      <w:pPr>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专业建设合作委员会</w:t>
      </w:r>
    </w:p>
    <w:tbl>
      <w:tblPr>
        <w:tblStyle w:val="1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701"/>
        <w:gridCol w:w="411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序号</w:t>
            </w:r>
          </w:p>
        </w:tc>
        <w:tc>
          <w:tcPr>
            <w:tcW w:w="851" w:type="dxa"/>
          </w:tcPr>
          <w:p>
            <w:pPr>
              <w:rPr>
                <w:rFonts w:ascii="仿宋" w:hAnsi="仿宋" w:eastAsia="仿宋" w:cs="仿宋"/>
                <w:szCs w:val="21"/>
              </w:rPr>
            </w:pPr>
            <w:r>
              <w:rPr>
                <w:rFonts w:hint="eastAsia" w:ascii="仿宋" w:hAnsi="仿宋" w:eastAsia="仿宋" w:cs="仿宋"/>
                <w:szCs w:val="21"/>
              </w:rPr>
              <w:t>姓名</w:t>
            </w:r>
          </w:p>
        </w:tc>
        <w:tc>
          <w:tcPr>
            <w:tcW w:w="1701" w:type="dxa"/>
          </w:tcPr>
          <w:p>
            <w:pPr>
              <w:rPr>
                <w:rFonts w:ascii="仿宋" w:hAnsi="仿宋" w:eastAsia="仿宋" w:cs="仿宋"/>
                <w:szCs w:val="21"/>
              </w:rPr>
            </w:pPr>
            <w:r>
              <w:rPr>
                <w:rFonts w:hint="eastAsia" w:ascii="仿宋" w:hAnsi="仿宋" w:eastAsia="仿宋" w:cs="仿宋"/>
                <w:szCs w:val="21"/>
              </w:rPr>
              <w:t>会内职务</w:t>
            </w:r>
          </w:p>
        </w:tc>
        <w:tc>
          <w:tcPr>
            <w:tcW w:w="4110" w:type="dxa"/>
          </w:tcPr>
          <w:p>
            <w:pPr>
              <w:rPr>
                <w:rFonts w:ascii="仿宋" w:hAnsi="仿宋" w:eastAsia="仿宋" w:cs="仿宋"/>
                <w:szCs w:val="21"/>
              </w:rPr>
            </w:pPr>
            <w:r>
              <w:rPr>
                <w:rFonts w:hint="eastAsia" w:ascii="仿宋" w:hAnsi="仿宋" w:eastAsia="仿宋" w:cs="仿宋"/>
                <w:szCs w:val="21"/>
              </w:rPr>
              <w:t>工作单位</w:t>
            </w:r>
          </w:p>
        </w:tc>
        <w:tc>
          <w:tcPr>
            <w:tcW w:w="2375" w:type="dxa"/>
          </w:tcPr>
          <w:p>
            <w:pPr>
              <w:rPr>
                <w:rFonts w:ascii="仿宋" w:hAnsi="仿宋" w:eastAsia="仿宋" w:cs="仿宋"/>
                <w:szCs w:val="21"/>
              </w:rPr>
            </w:pPr>
            <w:r>
              <w:rPr>
                <w:rFonts w:hint="eastAsia" w:ascii="仿宋" w:hAnsi="仿宋" w:eastAsia="仿宋" w:cs="仿宋"/>
                <w:szCs w:val="21"/>
              </w:rPr>
              <w:t>职务或职称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1</w:t>
            </w:r>
          </w:p>
        </w:tc>
        <w:tc>
          <w:tcPr>
            <w:tcW w:w="851" w:type="dxa"/>
          </w:tcPr>
          <w:p>
            <w:pPr>
              <w:rPr>
                <w:rFonts w:ascii="仿宋" w:hAnsi="仿宋" w:eastAsia="仿宋" w:cs="仿宋"/>
                <w:szCs w:val="21"/>
              </w:rPr>
            </w:pPr>
            <w:r>
              <w:rPr>
                <w:rFonts w:hint="eastAsia" w:ascii="仿宋" w:hAnsi="仿宋" w:eastAsia="仿宋" w:cs="仿宋"/>
                <w:szCs w:val="21"/>
              </w:rPr>
              <w:t>丁传杰</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阜阳幼儿师范高等专科学校</w:t>
            </w:r>
          </w:p>
        </w:tc>
        <w:tc>
          <w:tcPr>
            <w:tcW w:w="2375" w:type="dxa"/>
          </w:tcPr>
          <w:p>
            <w:pPr>
              <w:rPr>
                <w:rFonts w:ascii="仿宋" w:hAnsi="仿宋" w:eastAsia="仿宋" w:cs="仿宋"/>
                <w:szCs w:val="21"/>
              </w:rPr>
            </w:pPr>
            <w:r>
              <w:rPr>
                <w:rFonts w:hint="eastAsia" w:ascii="仿宋" w:hAnsi="仿宋" w:eastAsia="仿宋" w:cs="仿宋"/>
                <w:szCs w:val="21"/>
              </w:rPr>
              <w:t>音乐系负责人（副教授）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2.</w:t>
            </w:r>
          </w:p>
        </w:tc>
        <w:tc>
          <w:tcPr>
            <w:tcW w:w="851" w:type="dxa"/>
          </w:tcPr>
          <w:p>
            <w:pPr>
              <w:rPr>
                <w:rFonts w:ascii="仿宋" w:hAnsi="仿宋" w:eastAsia="仿宋" w:cs="仿宋"/>
                <w:szCs w:val="21"/>
              </w:rPr>
            </w:pPr>
            <w:r>
              <w:rPr>
                <w:rFonts w:hint="eastAsia" w:ascii="仿宋" w:hAnsi="仿宋" w:eastAsia="仿宋" w:cs="仿宋"/>
                <w:szCs w:val="21"/>
              </w:rPr>
              <w:t>戎龚停</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阜阳师范大学音乐与舞蹈学院</w:t>
            </w:r>
          </w:p>
        </w:tc>
        <w:tc>
          <w:tcPr>
            <w:tcW w:w="2375" w:type="dxa"/>
          </w:tcPr>
          <w:p>
            <w:pPr>
              <w:rPr>
                <w:rFonts w:ascii="仿宋" w:hAnsi="仿宋" w:eastAsia="仿宋" w:cs="仿宋"/>
                <w:szCs w:val="21"/>
              </w:rPr>
            </w:pPr>
            <w:r>
              <w:rPr>
                <w:rFonts w:hint="eastAsia" w:ascii="仿宋" w:hAnsi="仿宋" w:eastAsia="仿宋" w:cs="仿宋"/>
                <w:szCs w:val="21"/>
              </w:rPr>
              <w:t>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3</w:t>
            </w:r>
          </w:p>
        </w:tc>
        <w:tc>
          <w:tcPr>
            <w:tcW w:w="851" w:type="dxa"/>
          </w:tcPr>
          <w:p>
            <w:pPr>
              <w:rPr>
                <w:rFonts w:ascii="仿宋" w:hAnsi="仿宋" w:eastAsia="仿宋" w:cs="仿宋"/>
                <w:szCs w:val="21"/>
              </w:rPr>
            </w:pPr>
            <w:r>
              <w:rPr>
                <w:rFonts w:hint="eastAsia" w:ascii="仿宋" w:hAnsi="仿宋" w:eastAsia="仿宋" w:cs="仿宋"/>
                <w:szCs w:val="21"/>
              </w:rPr>
              <w:t>张宇</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阜阳师范大学音乐与舞蹈学院</w:t>
            </w:r>
          </w:p>
        </w:tc>
        <w:tc>
          <w:tcPr>
            <w:tcW w:w="2375" w:type="dxa"/>
          </w:tcPr>
          <w:p>
            <w:pPr>
              <w:rPr>
                <w:rFonts w:ascii="仿宋" w:hAnsi="仿宋" w:eastAsia="仿宋" w:cs="仿宋"/>
                <w:szCs w:val="21"/>
              </w:rPr>
            </w:pPr>
            <w:r>
              <w:rPr>
                <w:rFonts w:hint="eastAsia" w:ascii="仿宋" w:hAnsi="仿宋" w:eastAsia="仿宋" w:cs="仿宋"/>
                <w:szCs w:val="21"/>
              </w:rPr>
              <w:t>副院长（副教授）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4.</w:t>
            </w:r>
          </w:p>
        </w:tc>
        <w:tc>
          <w:tcPr>
            <w:tcW w:w="851" w:type="dxa"/>
          </w:tcPr>
          <w:p>
            <w:pPr>
              <w:rPr>
                <w:rFonts w:ascii="仿宋" w:hAnsi="仿宋" w:eastAsia="仿宋" w:cs="仿宋"/>
                <w:szCs w:val="21"/>
              </w:rPr>
            </w:pPr>
            <w:r>
              <w:rPr>
                <w:rFonts w:hint="eastAsia" w:ascii="仿宋" w:hAnsi="仿宋" w:eastAsia="仿宋" w:cs="仿宋"/>
                <w:szCs w:val="21"/>
              </w:rPr>
              <w:t>钮菲菲</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阜阳幼儿师范高等专科学校</w:t>
            </w:r>
          </w:p>
        </w:tc>
        <w:tc>
          <w:tcPr>
            <w:tcW w:w="2375" w:type="dxa"/>
          </w:tcPr>
          <w:p>
            <w:pPr>
              <w:rPr>
                <w:rFonts w:ascii="仿宋" w:hAnsi="仿宋" w:eastAsia="仿宋" w:cs="仿宋"/>
                <w:szCs w:val="21"/>
              </w:rPr>
            </w:pPr>
            <w:r>
              <w:rPr>
                <w:rFonts w:hint="eastAsia" w:ascii="仿宋" w:hAnsi="仿宋" w:eastAsia="仿宋" w:cs="仿宋"/>
                <w:szCs w:val="21"/>
              </w:rPr>
              <w:t>讲师（音乐系副主任）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5</w:t>
            </w:r>
          </w:p>
        </w:tc>
        <w:tc>
          <w:tcPr>
            <w:tcW w:w="851" w:type="dxa"/>
          </w:tcPr>
          <w:p>
            <w:pPr>
              <w:rPr>
                <w:rFonts w:ascii="仿宋" w:hAnsi="仿宋" w:eastAsia="仿宋" w:cs="仿宋"/>
                <w:szCs w:val="21"/>
              </w:rPr>
            </w:pPr>
            <w:r>
              <w:rPr>
                <w:rFonts w:hint="eastAsia" w:ascii="仿宋" w:hAnsi="仿宋" w:eastAsia="仿宋" w:cs="仿宋"/>
                <w:szCs w:val="21"/>
              </w:rPr>
              <w:t>赵青华</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亳州幼儿师范</w:t>
            </w:r>
          </w:p>
        </w:tc>
        <w:tc>
          <w:tcPr>
            <w:tcW w:w="2375" w:type="dxa"/>
          </w:tcPr>
          <w:p>
            <w:pPr>
              <w:rPr>
                <w:rFonts w:ascii="仿宋" w:hAnsi="仿宋" w:eastAsia="仿宋" w:cs="仿宋"/>
                <w:szCs w:val="21"/>
              </w:rPr>
            </w:pPr>
            <w:r>
              <w:rPr>
                <w:rFonts w:hint="eastAsia" w:ascii="仿宋" w:hAnsi="仿宋" w:eastAsia="仿宋" w:cs="仿宋"/>
                <w:szCs w:val="21"/>
              </w:rPr>
              <w:t>高级讲师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rPr>
                <w:rFonts w:ascii="仿宋" w:hAnsi="仿宋" w:eastAsia="仿宋" w:cs="仿宋"/>
                <w:szCs w:val="21"/>
              </w:rPr>
            </w:pPr>
            <w:r>
              <w:rPr>
                <w:rFonts w:hint="eastAsia" w:ascii="仿宋" w:hAnsi="仿宋" w:eastAsia="仿宋" w:cs="仿宋"/>
                <w:szCs w:val="21"/>
              </w:rPr>
              <w:t>6</w:t>
            </w:r>
          </w:p>
        </w:tc>
        <w:tc>
          <w:tcPr>
            <w:tcW w:w="851" w:type="dxa"/>
          </w:tcPr>
          <w:p>
            <w:pPr>
              <w:rPr>
                <w:rFonts w:ascii="仿宋" w:hAnsi="仿宋" w:eastAsia="仿宋" w:cs="仿宋"/>
                <w:szCs w:val="21"/>
              </w:rPr>
            </w:pPr>
            <w:r>
              <w:rPr>
                <w:rFonts w:hint="eastAsia" w:ascii="仿宋" w:hAnsi="仿宋" w:eastAsia="仿宋" w:cs="仿宋"/>
                <w:szCs w:val="21"/>
              </w:rPr>
              <w:t>刘昌远</w:t>
            </w:r>
          </w:p>
        </w:tc>
        <w:tc>
          <w:tcPr>
            <w:tcW w:w="1701" w:type="dxa"/>
          </w:tcPr>
          <w:p>
            <w:pPr>
              <w:rPr>
                <w:rFonts w:ascii="仿宋" w:hAnsi="仿宋" w:eastAsia="仿宋" w:cs="仿宋"/>
                <w:szCs w:val="21"/>
              </w:rPr>
            </w:pPr>
            <w:r>
              <w:rPr>
                <w:rFonts w:hint="eastAsia" w:ascii="仿宋" w:hAnsi="仿宋" w:eastAsia="仿宋" w:cs="仿宋"/>
                <w:szCs w:val="21"/>
              </w:rPr>
              <w:t>会员</w:t>
            </w:r>
          </w:p>
        </w:tc>
        <w:tc>
          <w:tcPr>
            <w:tcW w:w="4110" w:type="dxa"/>
          </w:tcPr>
          <w:p>
            <w:pPr>
              <w:rPr>
                <w:rFonts w:ascii="仿宋" w:hAnsi="仿宋" w:eastAsia="仿宋" w:cs="仿宋"/>
                <w:szCs w:val="21"/>
              </w:rPr>
            </w:pPr>
            <w:r>
              <w:rPr>
                <w:rFonts w:hint="eastAsia" w:ascii="仿宋" w:hAnsi="仿宋" w:eastAsia="仿宋" w:cs="仿宋"/>
                <w:szCs w:val="21"/>
              </w:rPr>
              <w:t>阜阳市北城小学</w:t>
            </w:r>
          </w:p>
        </w:tc>
        <w:tc>
          <w:tcPr>
            <w:tcW w:w="2375" w:type="dxa"/>
          </w:tcPr>
          <w:p>
            <w:pPr>
              <w:rPr>
                <w:rFonts w:ascii="仿宋" w:hAnsi="仿宋" w:eastAsia="仿宋" w:cs="仿宋"/>
                <w:szCs w:val="21"/>
              </w:rPr>
            </w:pPr>
            <w:r>
              <w:rPr>
                <w:rFonts w:hint="eastAsia" w:ascii="仿宋" w:hAnsi="仿宋" w:eastAsia="仿宋" w:cs="仿宋"/>
                <w:szCs w:val="21"/>
              </w:rPr>
              <w:t>市级优秀音乐教师</w:t>
            </w:r>
          </w:p>
        </w:tc>
      </w:tr>
    </w:tbl>
    <w:p>
      <w:pPr>
        <w:pStyle w:val="101"/>
        <w:spacing w:line="440" w:lineRule="exact"/>
        <w:ind w:firstLine="0" w:firstLineChars="0"/>
        <w:rPr>
          <w:rFonts w:ascii="黑体" w:hAnsi="黑体" w:eastAsia="黑体" w:cs="黑体"/>
          <w:sz w:val="24"/>
        </w:rPr>
      </w:pPr>
      <w:r>
        <w:rPr>
          <w:rFonts w:hint="eastAsia" w:ascii="黑体" w:hAnsi="黑体" w:eastAsia="黑体" w:cs="黑体"/>
          <w:sz w:val="24"/>
        </w:rPr>
        <w:t>十、毕业要求</w:t>
      </w:r>
    </w:p>
    <w:p>
      <w:pPr>
        <w:pStyle w:val="101"/>
        <w:rPr>
          <w:rFonts w:ascii="仿宋_GB2312" w:hAnsi="仿宋_GB2312" w:eastAsia="仿宋_GB2312" w:cs="仿宋_GB2312"/>
          <w:szCs w:val="21"/>
        </w:rPr>
      </w:pPr>
      <w:r>
        <w:rPr>
          <w:rFonts w:hint="eastAsia" w:ascii="仿宋_GB2312" w:hAnsi="仿宋_GB2312" w:eastAsia="仿宋_GB2312" w:cs="仿宋_GB2312"/>
          <w:szCs w:val="21"/>
        </w:rPr>
        <w:t>1.毕业要求是学生通过规定年限的学习，须修满的专业人才培养方案所规定的学时学分，其中必修课139学分,选修课10学分（包括公共选修课8学分），另外完成至少4个非课程或奖励学分；完成规定的教学活动，毕业时应达到的知识、能力和素质等方面要求。毕业要求应能支撑培养目标的有效达成。</w:t>
      </w:r>
    </w:p>
    <w:p>
      <w:pPr>
        <w:pStyle w:val="101"/>
        <w:rPr>
          <w:rFonts w:ascii="仿宋_GB2312" w:hAnsi="仿宋_GB2312" w:eastAsia="仿宋_GB2312" w:cs="仿宋_GB2312"/>
          <w:szCs w:val="21"/>
        </w:rPr>
      </w:pPr>
      <w:r>
        <w:rPr>
          <w:rFonts w:hint="eastAsia" w:ascii="仿宋_GB2312" w:hAnsi="仿宋_GB2312" w:eastAsia="仿宋_GB2312" w:cs="仿宋_GB2312"/>
          <w:szCs w:val="21"/>
        </w:rPr>
        <w:t>2.参加毕业实习全过程，毕业综合实践报告符合规定要求；</w:t>
      </w:r>
    </w:p>
    <w:p>
      <w:pPr>
        <w:pStyle w:val="101"/>
        <w:rPr>
          <w:rFonts w:ascii="仿宋_GB2312" w:hAnsi="仿宋_GB2312" w:eastAsia="仿宋_GB2312" w:cs="仿宋_GB2312"/>
          <w:szCs w:val="21"/>
        </w:rPr>
      </w:pPr>
      <w:r>
        <w:rPr>
          <w:rFonts w:hint="eastAsia" w:ascii="仿宋_GB2312" w:hAnsi="仿宋_GB2312" w:eastAsia="仿宋_GB2312" w:cs="仿宋_GB2312"/>
          <w:szCs w:val="21"/>
        </w:rPr>
        <w:t>3.获得本专业人才培养方案规定的职业资格证书或职业技能证书。</w:t>
      </w:r>
    </w:p>
    <w:p>
      <w:pPr>
        <w:ind w:firstLine="315" w:firstLineChars="150"/>
        <w:rPr>
          <w:rFonts w:ascii="仿宋_GB2312" w:hAnsi="仿宋_GB2312" w:eastAsia="仿宋_GB2312" w:cs="仿宋_GB2312"/>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A48CC"/>
    <w:multiLevelType w:val="singleLevel"/>
    <w:tmpl w:val="84DA48CC"/>
    <w:lvl w:ilvl="0" w:tentative="0">
      <w:start w:val="1"/>
      <w:numFmt w:val="decimal"/>
      <w:suff w:val="nothing"/>
      <w:lvlText w:val="（%1）"/>
      <w:lvlJc w:val="left"/>
    </w:lvl>
  </w:abstractNum>
  <w:abstractNum w:abstractNumId="1">
    <w:nsid w:val="8F51E7EB"/>
    <w:multiLevelType w:val="singleLevel"/>
    <w:tmpl w:val="8F51E7EB"/>
    <w:lvl w:ilvl="0" w:tentative="0">
      <w:start w:val="1"/>
      <w:numFmt w:val="decimal"/>
      <w:suff w:val="nothing"/>
      <w:lvlText w:val="（%1）"/>
      <w:lvlJc w:val="left"/>
    </w:lvl>
  </w:abstractNum>
  <w:abstractNum w:abstractNumId="2">
    <w:nsid w:val="A12C4AFE"/>
    <w:multiLevelType w:val="singleLevel"/>
    <w:tmpl w:val="A12C4AFE"/>
    <w:lvl w:ilvl="0" w:tentative="0">
      <w:start w:val="1"/>
      <w:numFmt w:val="decimal"/>
      <w:suff w:val="nothing"/>
      <w:lvlText w:val="（%1）"/>
      <w:lvlJc w:val="left"/>
    </w:lvl>
  </w:abstractNum>
  <w:abstractNum w:abstractNumId="3">
    <w:nsid w:val="B287D2CC"/>
    <w:multiLevelType w:val="singleLevel"/>
    <w:tmpl w:val="B287D2CC"/>
    <w:lvl w:ilvl="0" w:tentative="0">
      <w:start w:val="1"/>
      <w:numFmt w:val="decimal"/>
      <w:suff w:val="nothing"/>
      <w:lvlText w:val="（%1）"/>
      <w:lvlJc w:val="left"/>
    </w:lvl>
  </w:abstractNum>
  <w:abstractNum w:abstractNumId="4">
    <w:nsid w:val="D6BA1F4D"/>
    <w:multiLevelType w:val="singleLevel"/>
    <w:tmpl w:val="D6BA1F4D"/>
    <w:lvl w:ilvl="0" w:tentative="0">
      <w:start w:val="1"/>
      <w:numFmt w:val="decimal"/>
      <w:suff w:val="nothing"/>
      <w:lvlText w:val="（%1）"/>
      <w:lvlJc w:val="left"/>
    </w:lvl>
  </w:abstractNum>
  <w:abstractNum w:abstractNumId="5">
    <w:nsid w:val="1E4C71C1"/>
    <w:multiLevelType w:val="multilevel"/>
    <w:tmpl w:val="1E4C71C1"/>
    <w:lvl w:ilvl="0" w:tentative="0">
      <w:start w:val="1"/>
      <w:numFmt w:val="japaneseCounting"/>
      <w:lvlText w:val="（%1）"/>
      <w:lvlJc w:val="left"/>
      <w:pPr>
        <w:ind w:left="1546" w:hanging="720"/>
      </w:pPr>
      <w:rPr>
        <w:rFonts w:hint="default"/>
      </w:rPr>
    </w:lvl>
    <w:lvl w:ilvl="1" w:tentative="0">
      <w:start w:val="1"/>
      <w:numFmt w:val="lowerLetter"/>
      <w:lvlText w:val="%2)"/>
      <w:lvlJc w:val="left"/>
      <w:pPr>
        <w:ind w:left="1666" w:hanging="420"/>
      </w:pPr>
    </w:lvl>
    <w:lvl w:ilvl="2" w:tentative="0">
      <w:start w:val="1"/>
      <w:numFmt w:val="lowerRoman"/>
      <w:lvlText w:val="%3."/>
      <w:lvlJc w:val="right"/>
      <w:pPr>
        <w:ind w:left="2086" w:hanging="420"/>
      </w:pPr>
    </w:lvl>
    <w:lvl w:ilvl="3" w:tentative="0">
      <w:start w:val="1"/>
      <w:numFmt w:val="decimal"/>
      <w:lvlText w:val="%4."/>
      <w:lvlJc w:val="left"/>
      <w:pPr>
        <w:ind w:left="2506" w:hanging="420"/>
      </w:pPr>
    </w:lvl>
    <w:lvl w:ilvl="4" w:tentative="0">
      <w:start w:val="1"/>
      <w:numFmt w:val="lowerLetter"/>
      <w:lvlText w:val="%5)"/>
      <w:lvlJc w:val="left"/>
      <w:pPr>
        <w:ind w:left="2926" w:hanging="420"/>
      </w:pPr>
    </w:lvl>
    <w:lvl w:ilvl="5" w:tentative="0">
      <w:start w:val="1"/>
      <w:numFmt w:val="lowerRoman"/>
      <w:lvlText w:val="%6."/>
      <w:lvlJc w:val="right"/>
      <w:pPr>
        <w:ind w:left="3346" w:hanging="420"/>
      </w:pPr>
    </w:lvl>
    <w:lvl w:ilvl="6" w:tentative="0">
      <w:start w:val="1"/>
      <w:numFmt w:val="decimal"/>
      <w:lvlText w:val="%7."/>
      <w:lvlJc w:val="left"/>
      <w:pPr>
        <w:ind w:left="3766" w:hanging="420"/>
      </w:pPr>
    </w:lvl>
    <w:lvl w:ilvl="7" w:tentative="0">
      <w:start w:val="1"/>
      <w:numFmt w:val="lowerLetter"/>
      <w:lvlText w:val="%8)"/>
      <w:lvlJc w:val="left"/>
      <w:pPr>
        <w:ind w:left="4186" w:hanging="420"/>
      </w:pPr>
    </w:lvl>
    <w:lvl w:ilvl="8" w:tentative="0">
      <w:start w:val="1"/>
      <w:numFmt w:val="lowerRoman"/>
      <w:lvlText w:val="%9."/>
      <w:lvlJc w:val="right"/>
      <w:pPr>
        <w:ind w:left="4606" w:hanging="420"/>
      </w:pPr>
    </w:lvl>
  </w:abstractNum>
  <w:abstractNum w:abstractNumId="6">
    <w:nsid w:val="4C776472"/>
    <w:multiLevelType w:val="singleLevel"/>
    <w:tmpl w:val="4C776472"/>
    <w:lvl w:ilvl="0" w:tentative="0">
      <w:start w:val="1"/>
      <w:numFmt w:val="decimal"/>
      <w:suff w:val="nothing"/>
      <w:lvlText w:val="（%1）"/>
      <w:lvlJc w:val="left"/>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23DB4"/>
    <w:rsid w:val="000116BC"/>
    <w:rsid w:val="00012686"/>
    <w:rsid w:val="00014DEF"/>
    <w:rsid w:val="00022E87"/>
    <w:rsid w:val="00025211"/>
    <w:rsid w:val="00037E3F"/>
    <w:rsid w:val="0007404C"/>
    <w:rsid w:val="00080E26"/>
    <w:rsid w:val="00091062"/>
    <w:rsid w:val="000A0330"/>
    <w:rsid w:val="000A0640"/>
    <w:rsid w:val="000A4068"/>
    <w:rsid w:val="000B213D"/>
    <w:rsid w:val="000B3769"/>
    <w:rsid w:val="000B3917"/>
    <w:rsid w:val="000C1C41"/>
    <w:rsid w:val="000D37F2"/>
    <w:rsid w:val="000E07EA"/>
    <w:rsid w:val="000E1804"/>
    <w:rsid w:val="000E6B6D"/>
    <w:rsid w:val="0010688B"/>
    <w:rsid w:val="00122995"/>
    <w:rsid w:val="00140579"/>
    <w:rsid w:val="00146C6C"/>
    <w:rsid w:val="0016233E"/>
    <w:rsid w:val="001802C2"/>
    <w:rsid w:val="001A1FCD"/>
    <w:rsid w:val="001A6BB8"/>
    <w:rsid w:val="001A718E"/>
    <w:rsid w:val="001B0FCC"/>
    <w:rsid w:val="001B2285"/>
    <w:rsid w:val="001B2ABC"/>
    <w:rsid w:val="001B6C57"/>
    <w:rsid w:val="001B7A4E"/>
    <w:rsid w:val="001C1E2D"/>
    <w:rsid w:val="001D36CA"/>
    <w:rsid w:val="001E1A91"/>
    <w:rsid w:val="001E40E5"/>
    <w:rsid w:val="00201776"/>
    <w:rsid w:val="00245A75"/>
    <w:rsid w:val="00250C77"/>
    <w:rsid w:val="002521B3"/>
    <w:rsid w:val="002530B1"/>
    <w:rsid w:val="00257CAB"/>
    <w:rsid w:val="00260029"/>
    <w:rsid w:val="00262A44"/>
    <w:rsid w:val="00264A26"/>
    <w:rsid w:val="002700D9"/>
    <w:rsid w:val="00282A97"/>
    <w:rsid w:val="00287684"/>
    <w:rsid w:val="002B1115"/>
    <w:rsid w:val="002B2FDF"/>
    <w:rsid w:val="002D0FCA"/>
    <w:rsid w:val="002D49AF"/>
    <w:rsid w:val="002E1A4D"/>
    <w:rsid w:val="002F77A2"/>
    <w:rsid w:val="00312005"/>
    <w:rsid w:val="003337E4"/>
    <w:rsid w:val="00350129"/>
    <w:rsid w:val="00354118"/>
    <w:rsid w:val="00354D5A"/>
    <w:rsid w:val="003558E9"/>
    <w:rsid w:val="003638D3"/>
    <w:rsid w:val="00363FC9"/>
    <w:rsid w:val="00374157"/>
    <w:rsid w:val="0037777F"/>
    <w:rsid w:val="00381972"/>
    <w:rsid w:val="00382618"/>
    <w:rsid w:val="00393633"/>
    <w:rsid w:val="003A22CD"/>
    <w:rsid w:val="003B0C34"/>
    <w:rsid w:val="003B14D6"/>
    <w:rsid w:val="003B388D"/>
    <w:rsid w:val="003E6184"/>
    <w:rsid w:val="003E6E52"/>
    <w:rsid w:val="003F1662"/>
    <w:rsid w:val="003F68BF"/>
    <w:rsid w:val="003F7826"/>
    <w:rsid w:val="0042008C"/>
    <w:rsid w:val="00425B09"/>
    <w:rsid w:val="004356C7"/>
    <w:rsid w:val="004362FF"/>
    <w:rsid w:val="004375AA"/>
    <w:rsid w:val="00447A3D"/>
    <w:rsid w:val="004547AB"/>
    <w:rsid w:val="00455BBD"/>
    <w:rsid w:val="00471C9A"/>
    <w:rsid w:val="00472B43"/>
    <w:rsid w:val="0048029D"/>
    <w:rsid w:val="00487A4F"/>
    <w:rsid w:val="00492724"/>
    <w:rsid w:val="004A5590"/>
    <w:rsid w:val="004A6322"/>
    <w:rsid w:val="004B27C7"/>
    <w:rsid w:val="004B6D03"/>
    <w:rsid w:val="004B7B95"/>
    <w:rsid w:val="004C4F0A"/>
    <w:rsid w:val="004D265C"/>
    <w:rsid w:val="004D2FBA"/>
    <w:rsid w:val="004E2257"/>
    <w:rsid w:val="004E2285"/>
    <w:rsid w:val="004E30B0"/>
    <w:rsid w:val="004E523D"/>
    <w:rsid w:val="00502596"/>
    <w:rsid w:val="00503646"/>
    <w:rsid w:val="005132A0"/>
    <w:rsid w:val="005416F4"/>
    <w:rsid w:val="00546799"/>
    <w:rsid w:val="005469BB"/>
    <w:rsid w:val="0055121D"/>
    <w:rsid w:val="00565540"/>
    <w:rsid w:val="00571382"/>
    <w:rsid w:val="0057178F"/>
    <w:rsid w:val="00571AEB"/>
    <w:rsid w:val="00571FF3"/>
    <w:rsid w:val="00574BCE"/>
    <w:rsid w:val="00577680"/>
    <w:rsid w:val="00577D8A"/>
    <w:rsid w:val="00587576"/>
    <w:rsid w:val="00594FB2"/>
    <w:rsid w:val="005964BC"/>
    <w:rsid w:val="005A3B64"/>
    <w:rsid w:val="005B0E0D"/>
    <w:rsid w:val="005B5283"/>
    <w:rsid w:val="005C6975"/>
    <w:rsid w:val="005E1237"/>
    <w:rsid w:val="005E23A2"/>
    <w:rsid w:val="005E2BCD"/>
    <w:rsid w:val="005E35EE"/>
    <w:rsid w:val="005E4FFF"/>
    <w:rsid w:val="005F5DC3"/>
    <w:rsid w:val="00600D6C"/>
    <w:rsid w:val="006030E9"/>
    <w:rsid w:val="0060358E"/>
    <w:rsid w:val="006157CE"/>
    <w:rsid w:val="00615C9E"/>
    <w:rsid w:val="00624B7A"/>
    <w:rsid w:val="00631513"/>
    <w:rsid w:val="00636452"/>
    <w:rsid w:val="006547EB"/>
    <w:rsid w:val="00664043"/>
    <w:rsid w:val="006676B9"/>
    <w:rsid w:val="00681659"/>
    <w:rsid w:val="00681CAF"/>
    <w:rsid w:val="00690749"/>
    <w:rsid w:val="006A039A"/>
    <w:rsid w:val="006B2380"/>
    <w:rsid w:val="006B4818"/>
    <w:rsid w:val="006B7C03"/>
    <w:rsid w:val="006C14A9"/>
    <w:rsid w:val="006C1D61"/>
    <w:rsid w:val="006C5B40"/>
    <w:rsid w:val="006D5CA9"/>
    <w:rsid w:val="006E3EAD"/>
    <w:rsid w:val="00707108"/>
    <w:rsid w:val="00711AC2"/>
    <w:rsid w:val="007136F4"/>
    <w:rsid w:val="007137DC"/>
    <w:rsid w:val="007211B7"/>
    <w:rsid w:val="00721517"/>
    <w:rsid w:val="0075149C"/>
    <w:rsid w:val="00760C13"/>
    <w:rsid w:val="00774C6B"/>
    <w:rsid w:val="007B0AE3"/>
    <w:rsid w:val="007B202C"/>
    <w:rsid w:val="007B49B7"/>
    <w:rsid w:val="007C0853"/>
    <w:rsid w:val="007C13F7"/>
    <w:rsid w:val="007D3F72"/>
    <w:rsid w:val="007D40B8"/>
    <w:rsid w:val="007E2D90"/>
    <w:rsid w:val="007E4208"/>
    <w:rsid w:val="007F09DC"/>
    <w:rsid w:val="007F4C2F"/>
    <w:rsid w:val="00805AB8"/>
    <w:rsid w:val="00821ED0"/>
    <w:rsid w:val="0082226E"/>
    <w:rsid w:val="00832520"/>
    <w:rsid w:val="00835D9E"/>
    <w:rsid w:val="00837694"/>
    <w:rsid w:val="008479CE"/>
    <w:rsid w:val="00855E04"/>
    <w:rsid w:val="008567A3"/>
    <w:rsid w:val="00860B01"/>
    <w:rsid w:val="00865D6C"/>
    <w:rsid w:val="008670C7"/>
    <w:rsid w:val="008822B2"/>
    <w:rsid w:val="00894DC4"/>
    <w:rsid w:val="008B1419"/>
    <w:rsid w:val="008B5AC2"/>
    <w:rsid w:val="008C3492"/>
    <w:rsid w:val="008D1D17"/>
    <w:rsid w:val="008D2718"/>
    <w:rsid w:val="008D5350"/>
    <w:rsid w:val="008E797A"/>
    <w:rsid w:val="00901A3E"/>
    <w:rsid w:val="0090756E"/>
    <w:rsid w:val="0092680F"/>
    <w:rsid w:val="00935BB1"/>
    <w:rsid w:val="00946286"/>
    <w:rsid w:val="009724A8"/>
    <w:rsid w:val="00995D7A"/>
    <w:rsid w:val="009A22FA"/>
    <w:rsid w:val="009A2D18"/>
    <w:rsid w:val="009A7917"/>
    <w:rsid w:val="009B0C3A"/>
    <w:rsid w:val="009B665D"/>
    <w:rsid w:val="009C339B"/>
    <w:rsid w:val="009C6D45"/>
    <w:rsid w:val="009C7951"/>
    <w:rsid w:val="009D19FA"/>
    <w:rsid w:val="009D2A8A"/>
    <w:rsid w:val="009D64AA"/>
    <w:rsid w:val="009D6CFF"/>
    <w:rsid w:val="009E45EE"/>
    <w:rsid w:val="009F3070"/>
    <w:rsid w:val="00A13C3E"/>
    <w:rsid w:val="00A158CE"/>
    <w:rsid w:val="00A16E81"/>
    <w:rsid w:val="00A23FC4"/>
    <w:rsid w:val="00A24C82"/>
    <w:rsid w:val="00A2695C"/>
    <w:rsid w:val="00A42491"/>
    <w:rsid w:val="00A47CF5"/>
    <w:rsid w:val="00A552A2"/>
    <w:rsid w:val="00A57F36"/>
    <w:rsid w:val="00A70EC1"/>
    <w:rsid w:val="00A77471"/>
    <w:rsid w:val="00AA4E50"/>
    <w:rsid w:val="00AB2A8A"/>
    <w:rsid w:val="00AB60F0"/>
    <w:rsid w:val="00AB732A"/>
    <w:rsid w:val="00AB783B"/>
    <w:rsid w:val="00AC5B03"/>
    <w:rsid w:val="00AD6CF8"/>
    <w:rsid w:val="00B108C2"/>
    <w:rsid w:val="00B14532"/>
    <w:rsid w:val="00B20422"/>
    <w:rsid w:val="00B231F9"/>
    <w:rsid w:val="00B2570A"/>
    <w:rsid w:val="00B277B1"/>
    <w:rsid w:val="00B36B37"/>
    <w:rsid w:val="00B41477"/>
    <w:rsid w:val="00B416CC"/>
    <w:rsid w:val="00B66F66"/>
    <w:rsid w:val="00B74557"/>
    <w:rsid w:val="00B75F6B"/>
    <w:rsid w:val="00B803D0"/>
    <w:rsid w:val="00B80794"/>
    <w:rsid w:val="00B86553"/>
    <w:rsid w:val="00B9274E"/>
    <w:rsid w:val="00BA300C"/>
    <w:rsid w:val="00BA3496"/>
    <w:rsid w:val="00BB2DD3"/>
    <w:rsid w:val="00BB48D0"/>
    <w:rsid w:val="00BC5996"/>
    <w:rsid w:val="00BC5AAF"/>
    <w:rsid w:val="00BD1D89"/>
    <w:rsid w:val="00BE1E66"/>
    <w:rsid w:val="00BE2DA1"/>
    <w:rsid w:val="00BF46EE"/>
    <w:rsid w:val="00BF548E"/>
    <w:rsid w:val="00BF6762"/>
    <w:rsid w:val="00C01D01"/>
    <w:rsid w:val="00C07872"/>
    <w:rsid w:val="00C1542B"/>
    <w:rsid w:val="00C233CB"/>
    <w:rsid w:val="00C25B5C"/>
    <w:rsid w:val="00C41669"/>
    <w:rsid w:val="00C41AF7"/>
    <w:rsid w:val="00C426CD"/>
    <w:rsid w:val="00C51382"/>
    <w:rsid w:val="00C630F2"/>
    <w:rsid w:val="00C640B0"/>
    <w:rsid w:val="00C7282A"/>
    <w:rsid w:val="00C7404A"/>
    <w:rsid w:val="00C77838"/>
    <w:rsid w:val="00C966C8"/>
    <w:rsid w:val="00C97C9A"/>
    <w:rsid w:val="00CC4A97"/>
    <w:rsid w:val="00CC7A34"/>
    <w:rsid w:val="00CD023F"/>
    <w:rsid w:val="00CD0ADB"/>
    <w:rsid w:val="00CD7A07"/>
    <w:rsid w:val="00CF3742"/>
    <w:rsid w:val="00D00E24"/>
    <w:rsid w:val="00D040F4"/>
    <w:rsid w:val="00D10F9B"/>
    <w:rsid w:val="00D11925"/>
    <w:rsid w:val="00D12DB8"/>
    <w:rsid w:val="00D24FD4"/>
    <w:rsid w:val="00D300D8"/>
    <w:rsid w:val="00D35358"/>
    <w:rsid w:val="00D37097"/>
    <w:rsid w:val="00D40751"/>
    <w:rsid w:val="00D426A3"/>
    <w:rsid w:val="00D4457B"/>
    <w:rsid w:val="00D5089A"/>
    <w:rsid w:val="00D50B73"/>
    <w:rsid w:val="00D54484"/>
    <w:rsid w:val="00D5616E"/>
    <w:rsid w:val="00D748E5"/>
    <w:rsid w:val="00D85D16"/>
    <w:rsid w:val="00D9200F"/>
    <w:rsid w:val="00D97BC5"/>
    <w:rsid w:val="00DB6049"/>
    <w:rsid w:val="00DE5E0B"/>
    <w:rsid w:val="00DF0B9A"/>
    <w:rsid w:val="00E0016B"/>
    <w:rsid w:val="00E0227C"/>
    <w:rsid w:val="00E06270"/>
    <w:rsid w:val="00E162E8"/>
    <w:rsid w:val="00E2376C"/>
    <w:rsid w:val="00E5580D"/>
    <w:rsid w:val="00E55D77"/>
    <w:rsid w:val="00E57A3B"/>
    <w:rsid w:val="00E635B9"/>
    <w:rsid w:val="00E64F90"/>
    <w:rsid w:val="00E77844"/>
    <w:rsid w:val="00E80CF1"/>
    <w:rsid w:val="00E84524"/>
    <w:rsid w:val="00E86563"/>
    <w:rsid w:val="00EA0106"/>
    <w:rsid w:val="00EA0AB7"/>
    <w:rsid w:val="00EA1514"/>
    <w:rsid w:val="00EA38C2"/>
    <w:rsid w:val="00EA646D"/>
    <w:rsid w:val="00EC07FB"/>
    <w:rsid w:val="00EC08D9"/>
    <w:rsid w:val="00F0391A"/>
    <w:rsid w:val="00F07E57"/>
    <w:rsid w:val="00F1009B"/>
    <w:rsid w:val="00F1717A"/>
    <w:rsid w:val="00F17E85"/>
    <w:rsid w:val="00F224DC"/>
    <w:rsid w:val="00F23DB4"/>
    <w:rsid w:val="00F3250D"/>
    <w:rsid w:val="00F33B63"/>
    <w:rsid w:val="00F436EB"/>
    <w:rsid w:val="00F439B1"/>
    <w:rsid w:val="00F51D8D"/>
    <w:rsid w:val="00F611BC"/>
    <w:rsid w:val="00F7286B"/>
    <w:rsid w:val="00F765C9"/>
    <w:rsid w:val="00F87D05"/>
    <w:rsid w:val="00FA2B31"/>
    <w:rsid w:val="00FA5D26"/>
    <w:rsid w:val="00FB5D6A"/>
    <w:rsid w:val="00FC3B71"/>
    <w:rsid w:val="00FC3CDB"/>
    <w:rsid w:val="00FD45C2"/>
    <w:rsid w:val="00FD6A58"/>
    <w:rsid w:val="00FF7D51"/>
    <w:rsid w:val="07A21D09"/>
    <w:rsid w:val="0A094BBB"/>
    <w:rsid w:val="0BC42EF2"/>
    <w:rsid w:val="0ED6440D"/>
    <w:rsid w:val="0F6D041D"/>
    <w:rsid w:val="1194376B"/>
    <w:rsid w:val="15E073D0"/>
    <w:rsid w:val="167643FF"/>
    <w:rsid w:val="18676BB7"/>
    <w:rsid w:val="19671330"/>
    <w:rsid w:val="1A1E0958"/>
    <w:rsid w:val="1BA16D00"/>
    <w:rsid w:val="1BC36A55"/>
    <w:rsid w:val="1DA71E0C"/>
    <w:rsid w:val="1F574795"/>
    <w:rsid w:val="1FF6399B"/>
    <w:rsid w:val="202C4181"/>
    <w:rsid w:val="20B5585C"/>
    <w:rsid w:val="21F77DCA"/>
    <w:rsid w:val="24C70D76"/>
    <w:rsid w:val="25884F12"/>
    <w:rsid w:val="26E878E7"/>
    <w:rsid w:val="2A6C6656"/>
    <w:rsid w:val="2E246B64"/>
    <w:rsid w:val="2FE77A30"/>
    <w:rsid w:val="3194222E"/>
    <w:rsid w:val="327C3489"/>
    <w:rsid w:val="3405003E"/>
    <w:rsid w:val="354B5275"/>
    <w:rsid w:val="3A715D2D"/>
    <w:rsid w:val="3B0A2FF4"/>
    <w:rsid w:val="3B7441EE"/>
    <w:rsid w:val="3F0A5A4A"/>
    <w:rsid w:val="40E17701"/>
    <w:rsid w:val="42546556"/>
    <w:rsid w:val="457B2B85"/>
    <w:rsid w:val="47340912"/>
    <w:rsid w:val="487057DA"/>
    <w:rsid w:val="4B970AE7"/>
    <w:rsid w:val="4C5F7822"/>
    <w:rsid w:val="4EA8298C"/>
    <w:rsid w:val="4EAF595F"/>
    <w:rsid w:val="51746B2F"/>
    <w:rsid w:val="53E237A3"/>
    <w:rsid w:val="54442BEA"/>
    <w:rsid w:val="57C36F52"/>
    <w:rsid w:val="580E0B47"/>
    <w:rsid w:val="58CF420E"/>
    <w:rsid w:val="61C02C85"/>
    <w:rsid w:val="62D019DA"/>
    <w:rsid w:val="63216822"/>
    <w:rsid w:val="640131E5"/>
    <w:rsid w:val="6AA830F6"/>
    <w:rsid w:val="6AF7456C"/>
    <w:rsid w:val="6BD052BC"/>
    <w:rsid w:val="6CC42496"/>
    <w:rsid w:val="6E1E3BAD"/>
    <w:rsid w:val="71620373"/>
    <w:rsid w:val="71C9648B"/>
    <w:rsid w:val="73075150"/>
    <w:rsid w:val="771B714E"/>
    <w:rsid w:val="783C17BE"/>
    <w:rsid w:val="79A74137"/>
    <w:rsid w:val="7A603CC8"/>
    <w:rsid w:val="7D154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24"/>
      <w:szCs w:val="44"/>
    </w:rPr>
  </w:style>
  <w:style w:type="paragraph" w:styleId="3">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30"/>
    <w:unhideWhenUsed/>
    <w:qFormat/>
    <w:uiPriority w:val="0"/>
    <w:pPr>
      <w:jc w:val="left"/>
    </w:pPr>
  </w:style>
  <w:style w:type="paragraph" w:styleId="6">
    <w:name w:val="Body Text"/>
    <w:basedOn w:val="1"/>
    <w:link w:val="31"/>
    <w:qFormat/>
    <w:uiPriority w:val="0"/>
    <w:pPr>
      <w:spacing w:after="120"/>
    </w:pPr>
    <w:rPr>
      <w:rFonts w:asciiTheme="minorHAnsi" w:hAnsiTheme="minorHAnsi" w:eastAsiaTheme="minorEastAsia" w:cstheme="minorBidi"/>
      <w:szCs w:val="24"/>
    </w:rPr>
  </w:style>
  <w:style w:type="paragraph" w:styleId="7">
    <w:name w:val="Body Text Indent"/>
    <w:basedOn w:val="1"/>
    <w:link w:val="32"/>
    <w:qFormat/>
    <w:uiPriority w:val="0"/>
    <w:pPr>
      <w:widowControl/>
      <w:spacing w:before="100" w:beforeAutospacing="1" w:after="100" w:afterAutospacing="1"/>
      <w:jc w:val="left"/>
    </w:pPr>
    <w:rPr>
      <w:rFonts w:ascii="宋体" w:hAnsi="宋体" w:cs="宋体" w:eastAsiaTheme="minorEastAsia"/>
      <w:sz w:val="24"/>
      <w:szCs w:val="24"/>
    </w:rPr>
  </w:style>
  <w:style w:type="paragraph" w:styleId="8">
    <w:name w:val="Plain Text"/>
    <w:basedOn w:val="1"/>
    <w:link w:val="33"/>
    <w:qFormat/>
    <w:uiPriority w:val="0"/>
    <w:pPr>
      <w:widowControl/>
      <w:spacing w:before="100" w:beforeAutospacing="1" w:after="100" w:afterAutospacing="1"/>
      <w:jc w:val="left"/>
    </w:pPr>
    <w:rPr>
      <w:rFonts w:ascii="宋体" w:hAnsi="宋体" w:cs="Century"/>
      <w:color w:val="000000"/>
      <w:sz w:val="32"/>
      <w:szCs w:val="22"/>
    </w:rPr>
  </w:style>
  <w:style w:type="paragraph" w:styleId="9">
    <w:name w:val="Body Text Indent 2"/>
    <w:basedOn w:val="1"/>
    <w:link w:val="34"/>
    <w:qFormat/>
    <w:uiPriority w:val="0"/>
    <w:pPr>
      <w:spacing w:afterLines="50"/>
      <w:ind w:firstLine="480" w:firstLineChars="200"/>
    </w:pPr>
    <w:rPr>
      <w:rFonts w:asciiTheme="minorHAnsi" w:hAnsiTheme="minorHAnsi" w:eastAsiaTheme="minorEastAsia" w:cstheme="minorBidi"/>
      <w:sz w:val="24"/>
      <w:szCs w:val="24"/>
    </w:rPr>
  </w:style>
  <w:style w:type="paragraph" w:styleId="10">
    <w:name w:val="Balloon Text"/>
    <w:basedOn w:val="1"/>
    <w:link w:val="35"/>
    <w:unhideWhenUsed/>
    <w:qFormat/>
    <w:uiPriority w:val="0"/>
    <w:rPr>
      <w:rFonts w:eastAsia="Times New Roman" w:asciiTheme="minorHAnsi" w:hAnsiTheme="minorHAnsi" w:cstheme="minorBidi"/>
      <w:sz w:val="18"/>
      <w:szCs w:val="18"/>
    </w:rPr>
  </w:style>
  <w:style w:type="paragraph" w:styleId="11">
    <w:name w:val="footer"/>
    <w:basedOn w:val="1"/>
    <w:link w:val="36"/>
    <w:qFormat/>
    <w:uiPriority w:val="0"/>
    <w:pPr>
      <w:widowControl/>
      <w:tabs>
        <w:tab w:val="center" w:pos="4153"/>
        <w:tab w:val="right" w:pos="8306"/>
      </w:tabs>
      <w:snapToGrid w:val="0"/>
      <w:jc w:val="left"/>
    </w:pPr>
    <w:rPr>
      <w:rFonts w:asciiTheme="minorHAnsi" w:hAnsiTheme="minorHAnsi" w:cstheme="minorBidi"/>
      <w:sz w:val="18"/>
      <w:szCs w:val="22"/>
    </w:rPr>
  </w:style>
  <w:style w:type="paragraph" w:styleId="12">
    <w:name w:val="header"/>
    <w:basedOn w:val="1"/>
    <w:link w:val="37"/>
    <w:qFormat/>
    <w:uiPriority w:val="0"/>
    <w:pPr>
      <w:widowControl/>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3">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39"/>
    <w:unhideWhenUsed/>
    <w:qFormat/>
    <w:uiPriority w:val="0"/>
    <w:rPr>
      <w:rFonts w:asciiTheme="minorHAnsi" w:hAnsiTheme="minorHAnsi" w:cstheme="minorBidi"/>
      <w:b/>
      <w:bCs/>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800080" w:themeColor="followedHyperlink"/>
      <w:u w:val="single"/>
    </w:rPr>
  </w:style>
  <w:style w:type="character" w:styleId="22">
    <w:name w:val="Emphasis"/>
    <w:qFormat/>
    <w:uiPriority w:val="0"/>
    <w:rPr>
      <w:color w:val="CC0000"/>
    </w:rPr>
  </w:style>
  <w:style w:type="character" w:styleId="23">
    <w:name w:val="HTML Variable"/>
    <w:unhideWhenUsed/>
    <w:qFormat/>
    <w:uiPriority w:val="0"/>
    <w:rPr>
      <w:i/>
    </w:rPr>
  </w:style>
  <w:style w:type="character" w:styleId="24">
    <w:name w:val="Hyperlink"/>
    <w:qFormat/>
    <w:uiPriority w:val="99"/>
    <w:rPr>
      <w:color w:val="0000FF"/>
      <w:u w:val="single"/>
    </w:rPr>
  </w:style>
  <w:style w:type="character" w:styleId="25">
    <w:name w:val="HTML Code"/>
    <w:unhideWhenUsed/>
    <w:qFormat/>
    <w:uiPriority w:val="0"/>
    <w:rPr>
      <w:rFonts w:ascii="Courier New" w:hAnsi="Courier New"/>
      <w:sz w:val="20"/>
    </w:rPr>
  </w:style>
  <w:style w:type="character" w:styleId="26">
    <w:name w:val="annotation reference"/>
    <w:unhideWhenUsed/>
    <w:qFormat/>
    <w:uiPriority w:val="0"/>
    <w:rPr>
      <w:sz w:val="21"/>
      <w:szCs w:val="21"/>
    </w:rPr>
  </w:style>
  <w:style w:type="character" w:styleId="27">
    <w:name w:val="HTML Cite"/>
    <w:unhideWhenUsed/>
    <w:qFormat/>
    <w:uiPriority w:val="0"/>
    <w:rPr>
      <w:i/>
    </w:rPr>
  </w:style>
  <w:style w:type="character" w:customStyle="1" w:styleId="28">
    <w:name w:val="标题 1 Char"/>
    <w:basedOn w:val="18"/>
    <w:link w:val="2"/>
    <w:qFormat/>
    <w:uiPriority w:val="0"/>
    <w:rPr>
      <w:rFonts w:ascii="Times New Roman" w:hAnsi="Times New Roman" w:eastAsia="宋体" w:cs="Times New Roman"/>
      <w:b/>
      <w:bCs/>
      <w:kern w:val="44"/>
      <w:sz w:val="24"/>
      <w:szCs w:val="44"/>
    </w:rPr>
  </w:style>
  <w:style w:type="character" w:customStyle="1" w:styleId="29">
    <w:name w:val="标题 3 Char"/>
    <w:basedOn w:val="18"/>
    <w:link w:val="3"/>
    <w:qFormat/>
    <w:uiPriority w:val="0"/>
    <w:rPr>
      <w:rFonts w:ascii="Times New Roman" w:hAnsi="Times New Roman" w:eastAsia="宋体" w:cs="Times New Roman"/>
      <w:b/>
      <w:bCs/>
      <w:sz w:val="32"/>
      <w:szCs w:val="32"/>
    </w:rPr>
  </w:style>
  <w:style w:type="character" w:customStyle="1" w:styleId="30">
    <w:name w:val="批注文字 Char1"/>
    <w:basedOn w:val="18"/>
    <w:link w:val="5"/>
    <w:qFormat/>
    <w:uiPriority w:val="0"/>
    <w:rPr>
      <w:rFonts w:ascii="Times New Roman" w:hAnsi="Times New Roman" w:eastAsia="宋体" w:cs="Times New Roman"/>
      <w:szCs w:val="20"/>
    </w:rPr>
  </w:style>
  <w:style w:type="character" w:customStyle="1" w:styleId="31">
    <w:name w:val="正文文本 Char1"/>
    <w:basedOn w:val="18"/>
    <w:link w:val="6"/>
    <w:semiHidden/>
    <w:qFormat/>
    <w:uiPriority w:val="99"/>
    <w:rPr>
      <w:rFonts w:ascii="Times New Roman" w:hAnsi="Times New Roman" w:eastAsia="宋体" w:cs="Times New Roman"/>
      <w:szCs w:val="20"/>
    </w:rPr>
  </w:style>
  <w:style w:type="character" w:customStyle="1" w:styleId="32">
    <w:name w:val="正文文本缩进 Char1"/>
    <w:basedOn w:val="18"/>
    <w:link w:val="7"/>
    <w:semiHidden/>
    <w:qFormat/>
    <w:uiPriority w:val="99"/>
    <w:rPr>
      <w:rFonts w:ascii="Times New Roman" w:hAnsi="Times New Roman" w:eastAsia="宋体" w:cs="Times New Roman"/>
      <w:szCs w:val="20"/>
    </w:rPr>
  </w:style>
  <w:style w:type="character" w:customStyle="1" w:styleId="33">
    <w:name w:val="纯文本 Char1"/>
    <w:basedOn w:val="18"/>
    <w:link w:val="8"/>
    <w:semiHidden/>
    <w:qFormat/>
    <w:uiPriority w:val="99"/>
    <w:rPr>
      <w:rFonts w:ascii="宋体" w:hAnsi="Courier New" w:eastAsia="宋体" w:cs="Courier New"/>
      <w:szCs w:val="21"/>
    </w:rPr>
  </w:style>
  <w:style w:type="character" w:customStyle="1" w:styleId="34">
    <w:name w:val="正文文本缩进 2 Char1"/>
    <w:basedOn w:val="18"/>
    <w:link w:val="9"/>
    <w:semiHidden/>
    <w:qFormat/>
    <w:uiPriority w:val="99"/>
    <w:rPr>
      <w:rFonts w:ascii="Times New Roman" w:hAnsi="Times New Roman" w:eastAsia="宋体" w:cs="Times New Roman"/>
      <w:szCs w:val="20"/>
    </w:rPr>
  </w:style>
  <w:style w:type="character" w:customStyle="1" w:styleId="35">
    <w:name w:val="批注框文本 Char1"/>
    <w:basedOn w:val="18"/>
    <w:link w:val="10"/>
    <w:semiHidden/>
    <w:qFormat/>
    <w:uiPriority w:val="99"/>
    <w:rPr>
      <w:rFonts w:ascii="Times New Roman" w:hAnsi="Times New Roman" w:eastAsia="宋体" w:cs="Times New Roman"/>
      <w:sz w:val="18"/>
      <w:szCs w:val="18"/>
    </w:rPr>
  </w:style>
  <w:style w:type="character" w:customStyle="1" w:styleId="36">
    <w:name w:val="页脚 Char1"/>
    <w:basedOn w:val="18"/>
    <w:link w:val="11"/>
    <w:semiHidden/>
    <w:qFormat/>
    <w:uiPriority w:val="99"/>
    <w:rPr>
      <w:rFonts w:ascii="Times New Roman" w:hAnsi="Times New Roman" w:eastAsia="宋体" w:cs="Times New Roman"/>
      <w:sz w:val="18"/>
      <w:szCs w:val="18"/>
    </w:rPr>
  </w:style>
  <w:style w:type="character" w:customStyle="1" w:styleId="37">
    <w:name w:val="页眉 Char1"/>
    <w:basedOn w:val="18"/>
    <w:link w:val="12"/>
    <w:semiHidden/>
    <w:qFormat/>
    <w:uiPriority w:val="99"/>
    <w:rPr>
      <w:rFonts w:ascii="Times New Roman" w:hAnsi="Times New Roman" w:eastAsia="宋体" w:cs="Times New Roman"/>
      <w:sz w:val="18"/>
      <w:szCs w:val="18"/>
    </w:rPr>
  </w:style>
  <w:style w:type="character" w:customStyle="1" w:styleId="38">
    <w:name w:val="HTML 预设格式 Char1"/>
    <w:basedOn w:val="18"/>
    <w:link w:val="13"/>
    <w:semiHidden/>
    <w:qFormat/>
    <w:uiPriority w:val="99"/>
    <w:rPr>
      <w:rFonts w:ascii="Courier New" w:hAnsi="Courier New" w:eastAsia="宋体" w:cs="Courier New"/>
      <w:sz w:val="20"/>
      <w:szCs w:val="20"/>
    </w:rPr>
  </w:style>
  <w:style w:type="character" w:customStyle="1" w:styleId="39">
    <w:name w:val="批注主题 Char1"/>
    <w:basedOn w:val="30"/>
    <w:link w:val="15"/>
    <w:semiHidden/>
    <w:qFormat/>
    <w:uiPriority w:val="99"/>
    <w:rPr>
      <w:rFonts w:ascii="Times New Roman" w:hAnsi="Times New Roman" w:eastAsia="宋体" w:cs="Times New Roman"/>
      <w:b/>
      <w:bCs/>
      <w:szCs w:val="20"/>
    </w:rPr>
  </w:style>
  <w:style w:type="character" w:customStyle="1" w:styleId="40">
    <w:name w:val="Char Char8"/>
    <w:qFormat/>
    <w:uiPriority w:val="0"/>
    <w:rPr>
      <w:rFonts w:eastAsia="宋体"/>
      <w:b/>
      <w:bCs/>
      <w:kern w:val="44"/>
      <w:sz w:val="44"/>
      <w:szCs w:val="44"/>
      <w:lang w:val="en-US" w:eastAsia="zh-CN" w:bidi="ar-SA"/>
    </w:rPr>
  </w:style>
  <w:style w:type="character" w:customStyle="1" w:styleId="41">
    <w:name w:val="shop_score_box_p"/>
    <w:qFormat/>
    <w:uiPriority w:val="0"/>
    <w:rPr>
      <w:color w:val="FFFFFF"/>
    </w:rPr>
  </w:style>
  <w:style w:type="character" w:customStyle="1" w:styleId="42">
    <w:name w:val="g_tj"/>
    <w:basedOn w:val="18"/>
    <w:qFormat/>
    <w:uiPriority w:val="0"/>
  </w:style>
  <w:style w:type="character" w:customStyle="1" w:styleId="43">
    <w:name w:val="lemmatitleh11"/>
    <w:basedOn w:val="18"/>
    <w:qFormat/>
    <w:uiPriority w:val="0"/>
  </w:style>
  <w:style w:type="character" w:customStyle="1" w:styleId="44">
    <w:name w:val="批注主题 Char"/>
    <w:qFormat/>
    <w:uiPriority w:val="0"/>
    <w:rPr>
      <w:rFonts w:eastAsia="宋体"/>
      <w:b/>
      <w:bCs/>
      <w:szCs w:val="24"/>
    </w:rPr>
  </w:style>
  <w:style w:type="character" w:customStyle="1" w:styleId="45">
    <w:name w:val="页眉 Char"/>
    <w:qFormat/>
    <w:uiPriority w:val="0"/>
    <w:rPr>
      <w:rFonts w:eastAsia="宋体"/>
      <w:sz w:val="18"/>
      <w:szCs w:val="18"/>
    </w:rPr>
  </w:style>
  <w:style w:type="character" w:customStyle="1" w:styleId="46">
    <w:name w:val="g_tj1"/>
    <w:basedOn w:val="18"/>
    <w:qFormat/>
    <w:uiPriority w:val="0"/>
  </w:style>
  <w:style w:type="character" w:customStyle="1" w:styleId="47">
    <w:name w:val="g_fz1"/>
    <w:basedOn w:val="18"/>
    <w:qFormat/>
    <w:uiPriority w:val="0"/>
  </w:style>
  <w:style w:type="character" w:customStyle="1" w:styleId="48">
    <w:name w:val="red20"/>
    <w:qFormat/>
    <w:uiPriority w:val="0"/>
    <w:rPr>
      <w:color w:val="CC3300"/>
    </w:rPr>
  </w:style>
  <w:style w:type="character" w:customStyle="1" w:styleId="49">
    <w:name w:val="shop_score_box_p1"/>
    <w:qFormat/>
    <w:uiPriority w:val="0"/>
    <w:rPr>
      <w:color w:val="FFFFFF"/>
      <w:sz w:val="21"/>
      <w:szCs w:val="21"/>
    </w:rPr>
  </w:style>
  <w:style w:type="character" w:customStyle="1" w:styleId="50">
    <w:name w:val="HTML 预设格式 Char"/>
    <w:qFormat/>
    <w:uiPriority w:val="0"/>
    <w:rPr>
      <w:rFonts w:ascii="宋体" w:hAnsi="宋体" w:cs="宋体"/>
      <w:sz w:val="24"/>
      <w:szCs w:val="24"/>
    </w:rPr>
  </w:style>
  <w:style w:type="character" w:customStyle="1" w:styleId="51">
    <w:name w:val="g_fk1"/>
    <w:basedOn w:val="18"/>
    <w:qFormat/>
    <w:uiPriority w:val="0"/>
  </w:style>
  <w:style w:type="character" w:customStyle="1" w:styleId="52">
    <w:name w:val="页脚 Char"/>
    <w:qFormat/>
    <w:uiPriority w:val="0"/>
    <w:rPr>
      <w:rFonts w:eastAsia="宋体"/>
      <w:sz w:val="18"/>
    </w:rPr>
  </w:style>
  <w:style w:type="character" w:customStyle="1" w:styleId="53">
    <w:name w:val="正文文本缩进 2 Char"/>
    <w:qFormat/>
    <w:uiPriority w:val="0"/>
    <w:rPr>
      <w:sz w:val="24"/>
      <w:szCs w:val="24"/>
    </w:rPr>
  </w:style>
  <w:style w:type="character" w:customStyle="1" w:styleId="54">
    <w:name w:val="Char Char"/>
    <w:qFormat/>
    <w:uiPriority w:val="0"/>
    <w:rPr>
      <w:rFonts w:ascii="宋体" w:hAnsi="Courier New"/>
      <w:kern w:val="2"/>
      <w:sz w:val="21"/>
      <w:lang w:bidi="ar-SA"/>
    </w:rPr>
  </w:style>
  <w:style w:type="character" w:customStyle="1" w:styleId="55">
    <w:name w:val="Char Char4"/>
    <w:qFormat/>
    <w:uiPriority w:val="0"/>
    <w:rPr>
      <w:rFonts w:ascii="宋体" w:hAnsi="Courier New" w:eastAsia="宋体"/>
      <w:kern w:val="2"/>
      <w:sz w:val="21"/>
      <w:lang w:val="en-US" w:eastAsia="zh-CN" w:bidi="ar-SA"/>
    </w:rPr>
  </w:style>
  <w:style w:type="character" w:customStyle="1" w:styleId="56">
    <w:name w:val="now"/>
    <w:basedOn w:val="18"/>
    <w:qFormat/>
    <w:uiPriority w:val="0"/>
  </w:style>
  <w:style w:type="character" w:customStyle="1" w:styleId="57">
    <w:name w:val="offlines1"/>
    <w:basedOn w:val="18"/>
    <w:qFormat/>
    <w:uiPriority w:val="0"/>
  </w:style>
  <w:style w:type="character" w:customStyle="1" w:styleId="58">
    <w:name w:val="g_hh1"/>
    <w:basedOn w:val="18"/>
    <w:qFormat/>
    <w:uiPriority w:val="0"/>
  </w:style>
  <w:style w:type="character" w:customStyle="1" w:styleId="59">
    <w:name w:val="正文文本缩进 Char"/>
    <w:qFormat/>
    <w:uiPriority w:val="0"/>
    <w:rPr>
      <w:rFonts w:ascii="宋体" w:hAnsi="宋体" w:cs="宋体"/>
      <w:sz w:val="24"/>
      <w:szCs w:val="24"/>
    </w:rPr>
  </w:style>
  <w:style w:type="character" w:customStyle="1" w:styleId="60">
    <w:name w:val="p0 Char"/>
    <w:link w:val="61"/>
    <w:qFormat/>
    <w:uiPriority w:val="0"/>
    <w:rPr>
      <w:rFonts w:ascii="宋体" w:hAnsi="宋体" w:eastAsia="宋体"/>
      <w:sz w:val="24"/>
    </w:rPr>
  </w:style>
  <w:style w:type="paragraph" w:customStyle="1" w:styleId="61">
    <w:name w:val="p0"/>
    <w:basedOn w:val="1"/>
    <w:link w:val="60"/>
    <w:qFormat/>
    <w:uiPriority w:val="0"/>
    <w:pPr>
      <w:widowControl/>
      <w:spacing w:before="100" w:beforeAutospacing="1" w:after="100" w:afterAutospacing="1"/>
      <w:jc w:val="left"/>
    </w:pPr>
    <w:rPr>
      <w:rFonts w:ascii="宋体" w:hAnsi="宋体" w:cstheme="minorBidi"/>
      <w:sz w:val="24"/>
      <w:szCs w:val="22"/>
    </w:rPr>
  </w:style>
  <w:style w:type="character" w:customStyle="1" w:styleId="62">
    <w:name w:val="dot"/>
    <w:qFormat/>
    <w:uiPriority w:val="0"/>
    <w:rPr>
      <w:rFonts w:ascii="Arial" w:hAnsi="Arial" w:cs="Arial"/>
      <w:b/>
      <w:color w:val="A1A1A1"/>
      <w:spacing w:val="0"/>
      <w:sz w:val="19"/>
      <w:szCs w:val="19"/>
    </w:rPr>
  </w:style>
  <w:style w:type="character" w:customStyle="1" w:styleId="63">
    <w:name w:val="style11"/>
    <w:basedOn w:val="18"/>
    <w:qFormat/>
    <w:uiPriority w:val="0"/>
  </w:style>
  <w:style w:type="character" w:customStyle="1" w:styleId="64">
    <w:name w:val="gray18"/>
    <w:qFormat/>
    <w:uiPriority w:val="0"/>
    <w:rPr>
      <w:color w:val="404040"/>
      <w:bdr w:val="single" w:color="B4B4B4" w:sz="6" w:space="0"/>
      <w:shd w:val="clear" w:color="auto" w:fill="EAEAEA"/>
    </w:rPr>
  </w:style>
  <w:style w:type="character" w:customStyle="1" w:styleId="65">
    <w:name w:val="纯文本 Char"/>
    <w:qFormat/>
    <w:uiPriority w:val="0"/>
    <w:rPr>
      <w:rFonts w:ascii="宋体" w:hAnsi="宋体" w:eastAsia="宋体" w:cs="Century"/>
      <w:color w:val="000000"/>
      <w:sz w:val="32"/>
    </w:rPr>
  </w:style>
  <w:style w:type="character" w:customStyle="1" w:styleId="66">
    <w:name w:val="正文文本 Char"/>
    <w:qFormat/>
    <w:uiPriority w:val="0"/>
    <w:rPr>
      <w:szCs w:val="24"/>
    </w:rPr>
  </w:style>
  <w:style w:type="character" w:customStyle="1" w:styleId="67">
    <w:name w:val="g_th1"/>
    <w:basedOn w:val="18"/>
    <w:qFormat/>
    <w:uiPriority w:val="0"/>
  </w:style>
  <w:style w:type="character" w:customStyle="1" w:styleId="68">
    <w:name w:val="offlines"/>
    <w:qFormat/>
    <w:uiPriority w:val="0"/>
    <w:rPr>
      <w:color w:val="664422"/>
    </w:rPr>
  </w:style>
  <w:style w:type="character" w:customStyle="1" w:styleId="69">
    <w:name w:val="g_th"/>
    <w:basedOn w:val="18"/>
    <w:qFormat/>
    <w:uiPriority w:val="0"/>
  </w:style>
  <w:style w:type="character" w:customStyle="1" w:styleId="70">
    <w:name w:val="批注文字 Char"/>
    <w:qFormat/>
    <w:uiPriority w:val="0"/>
    <w:rPr>
      <w:rFonts w:eastAsia="宋体"/>
      <w:kern w:val="2"/>
      <w:sz w:val="21"/>
      <w:lang w:val="en-US" w:eastAsia="zh-CN" w:bidi="ar-SA"/>
    </w:rPr>
  </w:style>
  <w:style w:type="character" w:customStyle="1" w:styleId="71">
    <w:name w:val="g_th3"/>
    <w:basedOn w:val="18"/>
    <w:qFormat/>
    <w:uiPriority w:val="0"/>
  </w:style>
  <w:style w:type="character" w:customStyle="1" w:styleId="72">
    <w:name w:val="onlines1"/>
    <w:basedOn w:val="18"/>
    <w:qFormat/>
    <w:uiPriority w:val="0"/>
  </w:style>
  <w:style w:type="character" w:customStyle="1" w:styleId="73">
    <w:name w:val="批注框文本 Char"/>
    <w:qFormat/>
    <w:uiPriority w:val="0"/>
    <w:rPr>
      <w:rFonts w:eastAsia="Times New Roman"/>
      <w:sz w:val="18"/>
      <w:szCs w:val="18"/>
    </w:rPr>
  </w:style>
  <w:style w:type="character" w:customStyle="1" w:styleId="74">
    <w:name w:val="gray"/>
    <w:qFormat/>
    <w:uiPriority w:val="0"/>
    <w:rPr>
      <w:color w:val="404040"/>
      <w:bdr w:val="single" w:color="B4B4B4" w:sz="6" w:space="0"/>
      <w:shd w:val="clear" w:color="auto" w:fill="EAEAEA"/>
    </w:rPr>
  </w:style>
  <w:style w:type="character" w:customStyle="1" w:styleId="75">
    <w:name w:val="red"/>
    <w:qFormat/>
    <w:uiPriority w:val="0"/>
    <w:rPr>
      <w:color w:val="CC3300"/>
    </w:rPr>
  </w:style>
  <w:style w:type="character" w:customStyle="1" w:styleId="76">
    <w:name w:val="other"/>
    <w:basedOn w:val="18"/>
    <w:qFormat/>
    <w:uiPriority w:val="0"/>
  </w:style>
  <w:style w:type="character" w:customStyle="1" w:styleId="77">
    <w:name w:val="font01"/>
    <w:qFormat/>
    <w:uiPriority w:val="0"/>
    <w:rPr>
      <w:rFonts w:hint="default" w:ascii="Times New Roman" w:hAnsi="Times New Roman" w:cs="Times New Roman"/>
      <w:color w:val="000000"/>
      <w:sz w:val="20"/>
      <w:szCs w:val="20"/>
    </w:rPr>
  </w:style>
  <w:style w:type="character" w:customStyle="1" w:styleId="78">
    <w:name w:val="g_fk"/>
    <w:basedOn w:val="18"/>
    <w:qFormat/>
    <w:uiPriority w:val="0"/>
  </w:style>
  <w:style w:type="character" w:customStyle="1" w:styleId="79">
    <w:name w:val="yj"/>
    <w:qFormat/>
    <w:uiPriority w:val="0"/>
  </w:style>
  <w:style w:type="character" w:customStyle="1" w:styleId="80">
    <w:name w:val="g_cf"/>
    <w:basedOn w:val="18"/>
    <w:qFormat/>
    <w:uiPriority w:val="0"/>
  </w:style>
  <w:style w:type="character" w:customStyle="1" w:styleId="81">
    <w:name w:val="gray19"/>
    <w:qFormat/>
    <w:uiPriority w:val="0"/>
    <w:rPr>
      <w:color w:val="404040"/>
      <w:bdr w:val="single" w:color="B4B4B4" w:sz="6" w:space="0"/>
      <w:shd w:val="clear" w:color="auto" w:fill="EAEAEA"/>
    </w:rPr>
  </w:style>
  <w:style w:type="character" w:customStyle="1" w:styleId="82">
    <w:name w:val="g_fh1"/>
    <w:basedOn w:val="18"/>
    <w:qFormat/>
    <w:uiPriority w:val="0"/>
  </w:style>
  <w:style w:type="character" w:customStyle="1" w:styleId="83">
    <w:name w:val="g_th2"/>
    <w:basedOn w:val="18"/>
    <w:qFormat/>
    <w:uiPriority w:val="0"/>
  </w:style>
  <w:style w:type="character" w:customStyle="1" w:styleId="84">
    <w:name w:val="g_fz"/>
    <w:basedOn w:val="18"/>
    <w:qFormat/>
    <w:uiPriority w:val="0"/>
  </w:style>
  <w:style w:type="character" w:customStyle="1" w:styleId="85">
    <w:name w:val="onlines"/>
    <w:qFormat/>
    <w:uiPriority w:val="0"/>
    <w:rPr>
      <w:color w:val="664422"/>
    </w:rPr>
  </w:style>
  <w:style w:type="character" w:customStyle="1" w:styleId="86">
    <w:name w:val="shop_collect_btn"/>
    <w:basedOn w:val="18"/>
    <w:qFormat/>
    <w:uiPriority w:val="0"/>
  </w:style>
  <w:style w:type="character" w:customStyle="1" w:styleId="87">
    <w:name w:val="g_fh"/>
    <w:basedOn w:val="18"/>
    <w:qFormat/>
    <w:uiPriority w:val="0"/>
  </w:style>
  <w:style w:type="character" w:customStyle="1" w:styleId="88">
    <w:name w:val="g_hh"/>
    <w:basedOn w:val="18"/>
    <w:qFormat/>
    <w:uiPriority w:val="0"/>
  </w:style>
  <w:style w:type="character" w:customStyle="1" w:styleId="89">
    <w:name w:val="font21"/>
    <w:qFormat/>
    <w:uiPriority w:val="0"/>
    <w:rPr>
      <w:rFonts w:hint="eastAsia" w:ascii="宋体" w:hAnsi="宋体" w:eastAsia="宋体" w:cs="宋体"/>
      <w:color w:val="000000"/>
      <w:sz w:val="20"/>
      <w:szCs w:val="20"/>
    </w:rPr>
  </w:style>
  <w:style w:type="character" w:customStyle="1" w:styleId="90">
    <w:name w:val="g_cf1"/>
    <w:basedOn w:val="18"/>
    <w:qFormat/>
    <w:uiPriority w:val="0"/>
  </w:style>
  <w:style w:type="paragraph" w:customStyle="1" w:styleId="91">
    <w:name w:val="wpsplai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kern w:val="0"/>
      <w:sz w:val="18"/>
      <w:szCs w:val="18"/>
    </w:rPr>
  </w:style>
  <w:style w:type="paragraph" w:customStyle="1" w:styleId="93">
    <w:name w:val="Char"/>
    <w:basedOn w:val="1"/>
    <w:qFormat/>
    <w:uiPriority w:val="0"/>
    <w:rPr>
      <w:szCs w:val="24"/>
    </w:rPr>
  </w:style>
  <w:style w:type="paragraph" w:customStyle="1" w:styleId="94">
    <w:name w:val="Char Char Char Char Char Char Char Char Char"/>
    <w:basedOn w:val="1"/>
    <w:qFormat/>
    <w:uiPriority w:val="0"/>
    <w:pPr>
      <w:widowControl/>
      <w:spacing w:after="160" w:line="240" w:lineRule="exact"/>
      <w:jc w:val="left"/>
    </w:pPr>
    <w:rPr>
      <w:rFonts w:ascii="Verdana" w:hAnsi="Verdana"/>
      <w:kern w:val="0"/>
      <w:lang w:eastAsia="en-US"/>
    </w:rPr>
  </w:style>
  <w:style w:type="paragraph" w:styleId="95">
    <w:name w:val="No Spacing"/>
    <w:qFormat/>
    <w:uiPriority w:val="0"/>
    <w:rPr>
      <w:rFonts w:ascii="Times New Roman" w:hAnsi="Times New Roman" w:eastAsia="宋体" w:cs="Times New Roman"/>
      <w:sz w:val="3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styleId="98">
    <w:name w:val="List Paragraph"/>
    <w:basedOn w:val="1"/>
    <w:qFormat/>
    <w:uiPriority w:val="34"/>
    <w:pPr>
      <w:ind w:firstLine="420" w:firstLineChars="200"/>
    </w:pPr>
    <w:rPr>
      <w:szCs w:val="24"/>
    </w:rPr>
  </w:style>
  <w:style w:type="paragraph" w:customStyle="1" w:styleId="99">
    <w:name w:val="p18"/>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0">
    <w:name w:val="myOwnTableStyle"/>
    <w:qFormat/>
    <w:uiPriority w:val="99"/>
    <w:rPr>
      <w:rFonts w:ascii="Arial" w:hAnsi="Arial" w:cs="Arial"/>
    </w:rPr>
    <w:tblP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60" w:type="dxa"/>
        <w:left w:w="0" w:type="dxa"/>
        <w:bottom w:w="0" w:type="dxa"/>
        <w:right w:w="0" w:type="dxa"/>
      </w:tblCellMar>
    </w:tblPr>
  </w:style>
  <w:style w:type="paragraph" w:customStyle="1" w:styleId="101">
    <w:name w:val="列出段落1"/>
    <w:basedOn w:val="1"/>
    <w:qFormat/>
    <w:uiPriority w:val="0"/>
    <w:pPr>
      <w:ind w:firstLine="420" w:firstLineChars="200"/>
    </w:pPr>
    <w:rPr>
      <w:szCs w:val="24"/>
    </w:rPr>
  </w:style>
  <w:style w:type="character" w:customStyle="1" w:styleId="102">
    <w:name w:val="hover20"/>
    <w:basedOn w:val="18"/>
    <w:qFormat/>
    <w:uiPriority w:val="0"/>
    <w:rPr>
      <w:color w:val="557EE7"/>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2458</Words>
  <Characters>14011</Characters>
  <Lines>116</Lines>
  <Paragraphs>32</Paragraphs>
  <TotalTime>5</TotalTime>
  <ScaleCrop>false</ScaleCrop>
  <LinksUpToDate>false</LinksUpToDate>
  <CharactersWithSpaces>16437</CharactersWithSpaces>
  <Application>WPS Office_11.3.0.8632_F1E327BC-269C-435d-A152-05C5408002CA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2019-08-24T02:13:00Z</dcterms:created>
  <dc:creator>a</dc:creator>
  <lastModifiedBy>liumi</lastModifiedBy>
  <dcterms:modified xsi:type="dcterms:W3CDTF">2019-08-24T05:04:55Z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